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5EB8" w14:textId="60FE9910" w:rsidR="00BC664E" w:rsidRDefault="00BC66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201BB" wp14:editId="4DE7DDFB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3256868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82" y="21360"/>
                <wp:lineTo x="21482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5" t="25534" r="25582" b="43623"/>
                    <a:stretch/>
                  </pic:blipFill>
                  <pic:spPr bwMode="auto">
                    <a:xfrm>
                      <a:off x="0" y="0"/>
                      <a:ext cx="3256868" cy="165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259F71" w14:textId="30F9249E" w:rsidR="00BC664E" w:rsidRDefault="00BC664E"/>
    <w:p w14:paraId="6FEC7417" w14:textId="77777777" w:rsidR="00BC664E" w:rsidRDefault="00BC664E"/>
    <w:p w14:paraId="5A8FF487" w14:textId="77777777" w:rsidR="00BC664E" w:rsidRDefault="00BC664E"/>
    <w:p w14:paraId="5174784F" w14:textId="77777777" w:rsidR="00BC664E" w:rsidRDefault="00BC664E"/>
    <w:p w14:paraId="1982626F" w14:textId="77777777" w:rsidR="00BC664E" w:rsidRDefault="00BC664E"/>
    <w:p w14:paraId="7BE179F0" w14:textId="77777777" w:rsidR="00BC664E" w:rsidRPr="00BC664E" w:rsidRDefault="00BC664E" w:rsidP="00BC664E">
      <w:pPr>
        <w:jc w:val="center"/>
        <w:rPr>
          <w:b/>
          <w:bCs/>
          <w:sz w:val="16"/>
          <w:szCs w:val="16"/>
        </w:rPr>
      </w:pPr>
    </w:p>
    <w:p w14:paraId="3166BEBD" w14:textId="140FD5EA" w:rsidR="00C4481E" w:rsidRPr="00BC664E" w:rsidRDefault="00C4481E" w:rsidP="00BC664E">
      <w:pPr>
        <w:jc w:val="center"/>
        <w:rPr>
          <w:b/>
          <w:bCs/>
          <w:sz w:val="40"/>
          <w:szCs w:val="40"/>
        </w:rPr>
      </w:pPr>
      <w:r w:rsidRPr="00BC664E">
        <w:rPr>
          <w:b/>
          <w:bCs/>
          <w:sz w:val="40"/>
          <w:szCs w:val="40"/>
        </w:rPr>
        <w:t>CALIFORNIA RETAILERS ASSOCIATION ANTITRUST STATEMENT</w:t>
      </w:r>
    </w:p>
    <w:p w14:paraId="34FD281C" w14:textId="77777777" w:rsidR="00BC664E" w:rsidRDefault="00BC664E">
      <w:pPr>
        <w:rPr>
          <w:sz w:val="24"/>
          <w:szCs w:val="24"/>
        </w:rPr>
      </w:pPr>
    </w:p>
    <w:p w14:paraId="16778CD2" w14:textId="105F599A" w:rsidR="00C4481E" w:rsidRPr="00BC664E" w:rsidRDefault="00C4481E">
      <w:pPr>
        <w:rPr>
          <w:sz w:val="24"/>
          <w:szCs w:val="24"/>
        </w:rPr>
      </w:pPr>
      <w:r w:rsidRPr="00BC664E">
        <w:rPr>
          <w:sz w:val="24"/>
          <w:szCs w:val="24"/>
        </w:rPr>
        <w:t xml:space="preserve">CRA believes strongly in competition.  Our </w:t>
      </w:r>
      <w:r w:rsidR="009A21D6" w:rsidRPr="00BC664E">
        <w:rPr>
          <w:sz w:val="24"/>
          <w:szCs w:val="24"/>
        </w:rPr>
        <w:t>antitrust</w:t>
      </w:r>
      <w:r w:rsidRPr="00BC664E">
        <w:rPr>
          <w:sz w:val="24"/>
          <w:szCs w:val="24"/>
        </w:rPr>
        <w:t xml:space="preserve"> laws are the rules under which our competitive system operates.  It is CRA’s policy to </w:t>
      </w:r>
      <w:r w:rsidR="009A21D6" w:rsidRPr="00BC664E">
        <w:rPr>
          <w:sz w:val="24"/>
          <w:szCs w:val="24"/>
        </w:rPr>
        <w:t>comply</w:t>
      </w:r>
      <w:r w:rsidRPr="00BC664E">
        <w:rPr>
          <w:sz w:val="24"/>
          <w:szCs w:val="24"/>
        </w:rPr>
        <w:t xml:space="preserve"> in all respects with the antitrust laws.</w:t>
      </w:r>
    </w:p>
    <w:p w14:paraId="32E71EAD" w14:textId="77777777" w:rsidR="00BC664E" w:rsidRPr="00BC664E" w:rsidRDefault="00BC664E">
      <w:pPr>
        <w:rPr>
          <w:sz w:val="16"/>
          <w:szCs w:val="16"/>
        </w:rPr>
      </w:pPr>
    </w:p>
    <w:p w14:paraId="2AEEAD79" w14:textId="1EF833C7" w:rsidR="00C4481E" w:rsidRPr="00BC664E" w:rsidRDefault="009A21D6">
      <w:pPr>
        <w:rPr>
          <w:sz w:val="24"/>
          <w:szCs w:val="24"/>
        </w:rPr>
      </w:pPr>
      <w:r w:rsidRPr="00BC664E">
        <w:rPr>
          <w:sz w:val="24"/>
          <w:szCs w:val="24"/>
        </w:rPr>
        <w:t>Association</w:t>
      </w:r>
      <w:r w:rsidR="00C4481E" w:rsidRPr="00BC664E">
        <w:rPr>
          <w:sz w:val="24"/>
          <w:szCs w:val="24"/>
        </w:rPr>
        <w:t xml:space="preserve"> meetings</w:t>
      </w:r>
      <w:r w:rsidR="00BC664E">
        <w:rPr>
          <w:sz w:val="24"/>
          <w:szCs w:val="24"/>
        </w:rPr>
        <w:t>,</w:t>
      </w:r>
      <w:r w:rsidR="00C4481E" w:rsidRPr="00BC664E">
        <w:rPr>
          <w:sz w:val="24"/>
          <w:szCs w:val="24"/>
        </w:rPr>
        <w:t xml:space="preserve"> by their very nature</w:t>
      </w:r>
      <w:r w:rsidR="00BC664E">
        <w:rPr>
          <w:sz w:val="24"/>
          <w:szCs w:val="24"/>
        </w:rPr>
        <w:t>,</w:t>
      </w:r>
      <w:r w:rsidR="00C4481E" w:rsidRPr="00BC664E">
        <w:rPr>
          <w:sz w:val="24"/>
          <w:szCs w:val="24"/>
        </w:rPr>
        <w:t xml:space="preserve"> bring </w:t>
      </w:r>
      <w:r w:rsidRPr="00BC664E">
        <w:rPr>
          <w:sz w:val="24"/>
          <w:szCs w:val="24"/>
        </w:rPr>
        <w:t>competitors</w:t>
      </w:r>
      <w:r w:rsidR="00C4481E" w:rsidRPr="00BC664E">
        <w:rPr>
          <w:sz w:val="24"/>
          <w:szCs w:val="24"/>
        </w:rPr>
        <w:t xml:space="preserve"> together.  It is expected that </w:t>
      </w:r>
      <w:r w:rsidR="003F309B" w:rsidRPr="00BC664E">
        <w:rPr>
          <w:sz w:val="24"/>
          <w:szCs w:val="24"/>
        </w:rPr>
        <w:t xml:space="preserve">that all member </w:t>
      </w:r>
      <w:r w:rsidRPr="00BC664E">
        <w:rPr>
          <w:sz w:val="24"/>
          <w:szCs w:val="24"/>
        </w:rPr>
        <w:t>representatives</w:t>
      </w:r>
      <w:r w:rsidR="003F309B" w:rsidRPr="00BC664E">
        <w:rPr>
          <w:sz w:val="24"/>
          <w:szCs w:val="24"/>
        </w:rPr>
        <w:t xml:space="preserve"> involved in CRA activities, as well as CRA </w:t>
      </w:r>
      <w:r w:rsidRPr="00BC664E">
        <w:rPr>
          <w:sz w:val="24"/>
          <w:szCs w:val="24"/>
        </w:rPr>
        <w:t>employees</w:t>
      </w:r>
      <w:r w:rsidR="003F309B" w:rsidRPr="00BC664E">
        <w:rPr>
          <w:sz w:val="24"/>
          <w:szCs w:val="24"/>
        </w:rPr>
        <w:t xml:space="preserve">, </w:t>
      </w:r>
      <w:r w:rsidR="00BC664E" w:rsidRPr="00BC664E">
        <w:rPr>
          <w:sz w:val="24"/>
          <w:szCs w:val="24"/>
        </w:rPr>
        <w:t>consultants</w:t>
      </w:r>
      <w:r w:rsidR="003F309B" w:rsidRPr="00BC664E">
        <w:rPr>
          <w:sz w:val="24"/>
          <w:szCs w:val="24"/>
        </w:rPr>
        <w:t xml:space="preserve"> and other participants, will be </w:t>
      </w:r>
      <w:r w:rsidR="00BC664E" w:rsidRPr="00BC664E">
        <w:rPr>
          <w:sz w:val="24"/>
          <w:szCs w:val="24"/>
        </w:rPr>
        <w:t>sensitive</w:t>
      </w:r>
      <w:r w:rsidR="003F309B" w:rsidRPr="00BC664E">
        <w:rPr>
          <w:sz w:val="24"/>
          <w:szCs w:val="24"/>
        </w:rPr>
        <w:t xml:space="preserve"> to the legal issues and act in compliance with applicable antitrust and competition laws both at CRA meetings and CRA sponsored events.</w:t>
      </w:r>
    </w:p>
    <w:p w14:paraId="3562E06B" w14:textId="77777777" w:rsidR="00BC664E" w:rsidRPr="00BC664E" w:rsidRDefault="00BC664E">
      <w:pPr>
        <w:rPr>
          <w:sz w:val="16"/>
          <w:szCs w:val="16"/>
        </w:rPr>
      </w:pPr>
    </w:p>
    <w:p w14:paraId="5CBF86A8" w14:textId="6EE98237" w:rsidR="003F309B" w:rsidRPr="00BC664E" w:rsidRDefault="003F309B">
      <w:pPr>
        <w:rPr>
          <w:sz w:val="24"/>
          <w:szCs w:val="24"/>
        </w:rPr>
      </w:pPr>
      <w:r w:rsidRPr="00BC664E">
        <w:rPr>
          <w:sz w:val="24"/>
          <w:szCs w:val="24"/>
        </w:rPr>
        <w:t xml:space="preserve">Accordingly, it is necessary to </w:t>
      </w:r>
      <w:r w:rsidR="009A21D6" w:rsidRPr="00BC664E">
        <w:rPr>
          <w:sz w:val="24"/>
          <w:szCs w:val="24"/>
        </w:rPr>
        <w:t>avoid</w:t>
      </w:r>
      <w:r w:rsidRPr="00BC664E">
        <w:rPr>
          <w:sz w:val="24"/>
          <w:szCs w:val="24"/>
        </w:rPr>
        <w:t xml:space="preserve"> discussion of sensitive topics that can create antitrust concerns.  Agreements to fix prices, allocate markets, engage in product boycotts and to </w:t>
      </w:r>
      <w:r w:rsidR="009A21D6" w:rsidRPr="00BC664E">
        <w:rPr>
          <w:sz w:val="24"/>
          <w:szCs w:val="24"/>
        </w:rPr>
        <w:t>refuse</w:t>
      </w:r>
      <w:r w:rsidRPr="00BC664E">
        <w:rPr>
          <w:sz w:val="24"/>
          <w:szCs w:val="24"/>
        </w:rPr>
        <w:t xml:space="preserve"> to deal with third parties are illegal under antitrust laws.  At any </w:t>
      </w:r>
      <w:r w:rsidR="009A21D6" w:rsidRPr="00BC664E">
        <w:rPr>
          <w:sz w:val="24"/>
          <w:szCs w:val="24"/>
        </w:rPr>
        <w:t>association</w:t>
      </w:r>
      <w:r w:rsidRPr="00BC664E">
        <w:rPr>
          <w:sz w:val="24"/>
          <w:szCs w:val="24"/>
        </w:rPr>
        <w:t xml:space="preserve"> meeting</w:t>
      </w:r>
      <w:r w:rsidR="00BC664E">
        <w:rPr>
          <w:sz w:val="24"/>
          <w:szCs w:val="24"/>
        </w:rPr>
        <w:t>,</w:t>
      </w:r>
      <w:r w:rsidRPr="00BC664E">
        <w:rPr>
          <w:sz w:val="24"/>
          <w:szCs w:val="24"/>
        </w:rPr>
        <w:t xml:space="preserve"> </w:t>
      </w:r>
      <w:r w:rsidR="009A21D6" w:rsidRPr="00BC664E">
        <w:rPr>
          <w:sz w:val="24"/>
          <w:szCs w:val="24"/>
        </w:rPr>
        <w:t>discussions</w:t>
      </w:r>
      <w:r w:rsidRPr="00BC664E">
        <w:rPr>
          <w:sz w:val="24"/>
          <w:szCs w:val="24"/>
        </w:rPr>
        <w:t xml:space="preserve"> of prices (including </w:t>
      </w:r>
      <w:r w:rsidR="009A21D6" w:rsidRPr="00BC664E">
        <w:rPr>
          <w:sz w:val="24"/>
          <w:szCs w:val="24"/>
        </w:rPr>
        <w:t>elements</w:t>
      </w:r>
      <w:r w:rsidRPr="00BC664E">
        <w:rPr>
          <w:sz w:val="24"/>
          <w:szCs w:val="24"/>
        </w:rPr>
        <w:t xml:space="preserve"> of prices such as allowances and credit terms), quality rating</w:t>
      </w:r>
      <w:r w:rsidR="009A21D6" w:rsidRPr="00BC664E">
        <w:rPr>
          <w:sz w:val="24"/>
          <w:szCs w:val="24"/>
        </w:rPr>
        <w:t>s</w:t>
      </w:r>
      <w:r w:rsidRPr="00BC664E">
        <w:rPr>
          <w:sz w:val="24"/>
          <w:szCs w:val="24"/>
        </w:rPr>
        <w:t xml:space="preserve"> of supplies and discussions that may cause a </w:t>
      </w:r>
      <w:r w:rsidR="009A21D6" w:rsidRPr="00BC664E">
        <w:rPr>
          <w:sz w:val="24"/>
          <w:szCs w:val="24"/>
        </w:rPr>
        <w:t>competitor</w:t>
      </w:r>
      <w:r w:rsidRPr="00BC664E">
        <w:rPr>
          <w:sz w:val="24"/>
          <w:szCs w:val="24"/>
        </w:rPr>
        <w:t xml:space="preserve"> to cease purchasing from a </w:t>
      </w:r>
      <w:proofErr w:type="gramStart"/>
      <w:r w:rsidRPr="00BC664E">
        <w:rPr>
          <w:sz w:val="24"/>
          <w:szCs w:val="24"/>
        </w:rPr>
        <w:t>parti</w:t>
      </w:r>
      <w:r w:rsidR="009A21D6" w:rsidRPr="00BC664E">
        <w:rPr>
          <w:sz w:val="24"/>
          <w:szCs w:val="24"/>
        </w:rPr>
        <w:t>cular</w:t>
      </w:r>
      <w:r w:rsidRPr="00BC664E">
        <w:rPr>
          <w:sz w:val="24"/>
          <w:szCs w:val="24"/>
        </w:rPr>
        <w:t xml:space="preserve"> supplier</w:t>
      </w:r>
      <w:proofErr w:type="gramEnd"/>
      <w:r w:rsidRPr="00BC664E">
        <w:rPr>
          <w:sz w:val="24"/>
          <w:szCs w:val="24"/>
        </w:rPr>
        <w:t xml:space="preserve">, or selling to a particular customer, </w:t>
      </w:r>
      <w:r w:rsidR="00BC664E" w:rsidRPr="00BC664E">
        <w:rPr>
          <w:sz w:val="24"/>
          <w:szCs w:val="24"/>
        </w:rPr>
        <w:t>should</w:t>
      </w:r>
      <w:r w:rsidRPr="00BC664E">
        <w:rPr>
          <w:sz w:val="24"/>
          <w:szCs w:val="24"/>
        </w:rPr>
        <w:t xml:space="preserve"> be avoided.  </w:t>
      </w:r>
      <w:bookmarkStart w:id="0" w:name="_GoBack"/>
      <w:bookmarkEnd w:id="0"/>
    </w:p>
    <w:p w14:paraId="48620FB8" w14:textId="77777777" w:rsidR="00BC664E" w:rsidRPr="00BC664E" w:rsidRDefault="00BC664E">
      <w:pPr>
        <w:rPr>
          <w:sz w:val="16"/>
          <w:szCs w:val="16"/>
        </w:rPr>
      </w:pPr>
    </w:p>
    <w:p w14:paraId="66EE6643" w14:textId="2D4843E9" w:rsidR="003F309B" w:rsidRPr="00BC664E" w:rsidRDefault="003F309B">
      <w:pPr>
        <w:rPr>
          <w:sz w:val="24"/>
          <w:szCs w:val="24"/>
        </w:rPr>
      </w:pPr>
      <w:r w:rsidRPr="00BC664E">
        <w:rPr>
          <w:sz w:val="24"/>
          <w:szCs w:val="24"/>
        </w:rPr>
        <w:t xml:space="preserve">An antitrust violation does not require proof of a </w:t>
      </w:r>
      <w:r w:rsidR="00BC664E" w:rsidRPr="00BC664E">
        <w:rPr>
          <w:sz w:val="24"/>
          <w:szCs w:val="24"/>
        </w:rPr>
        <w:t>formal</w:t>
      </w:r>
      <w:r w:rsidRPr="00BC664E">
        <w:rPr>
          <w:sz w:val="24"/>
          <w:szCs w:val="24"/>
        </w:rPr>
        <w:t xml:space="preserve"> agreement.  A discussion of a </w:t>
      </w:r>
      <w:r w:rsidR="00BC664E" w:rsidRPr="00BC664E">
        <w:rPr>
          <w:sz w:val="24"/>
          <w:szCs w:val="24"/>
        </w:rPr>
        <w:t>sensitive</w:t>
      </w:r>
      <w:r w:rsidRPr="00BC664E">
        <w:rPr>
          <w:sz w:val="24"/>
          <w:szCs w:val="24"/>
        </w:rPr>
        <w:t xml:space="preserve"> topic, such as price, followed by action </w:t>
      </w:r>
      <w:r w:rsidR="00BC664E" w:rsidRPr="00BC664E">
        <w:rPr>
          <w:sz w:val="24"/>
          <w:szCs w:val="24"/>
        </w:rPr>
        <w:t>by those</w:t>
      </w:r>
      <w:r w:rsidRPr="00BC664E">
        <w:rPr>
          <w:sz w:val="24"/>
          <w:szCs w:val="24"/>
        </w:rPr>
        <w:t xml:space="preserve"> involved or present at the discussion is enough to show a price fixing conspiracy.  As a result, those attending a CRA sponsored meeting should remember the importance of avoiding not only unlawful activities, but even the appearance of unlawful activity.</w:t>
      </w:r>
    </w:p>
    <w:p w14:paraId="657BBC66" w14:textId="77777777" w:rsidR="00BC664E" w:rsidRPr="00BC664E" w:rsidRDefault="00BC664E">
      <w:pPr>
        <w:rPr>
          <w:sz w:val="16"/>
          <w:szCs w:val="16"/>
        </w:rPr>
      </w:pPr>
    </w:p>
    <w:p w14:paraId="63223C71" w14:textId="7501EA05" w:rsidR="003F309B" w:rsidRPr="00BC664E" w:rsidRDefault="003F309B">
      <w:pPr>
        <w:rPr>
          <w:sz w:val="24"/>
          <w:szCs w:val="24"/>
        </w:rPr>
      </w:pPr>
      <w:r w:rsidRPr="00BC664E">
        <w:rPr>
          <w:sz w:val="24"/>
          <w:szCs w:val="24"/>
        </w:rPr>
        <w:t xml:space="preserve">As a practical matter, violation of these rules can have serious consequences </w:t>
      </w:r>
      <w:r w:rsidR="00BC664E">
        <w:rPr>
          <w:sz w:val="24"/>
          <w:szCs w:val="24"/>
        </w:rPr>
        <w:t>for</w:t>
      </w:r>
      <w:r w:rsidRPr="00BC664E">
        <w:rPr>
          <w:sz w:val="24"/>
          <w:szCs w:val="24"/>
        </w:rPr>
        <w:t xml:space="preserve"> a company and its employees.  Antitrust investigations and litigation are </w:t>
      </w:r>
      <w:r w:rsidR="009A21D6" w:rsidRPr="00BC664E">
        <w:rPr>
          <w:sz w:val="24"/>
          <w:szCs w:val="24"/>
        </w:rPr>
        <w:t xml:space="preserve">lengthy, </w:t>
      </w:r>
      <w:r w:rsidR="00BC664E" w:rsidRPr="00BC664E">
        <w:rPr>
          <w:sz w:val="24"/>
          <w:szCs w:val="24"/>
        </w:rPr>
        <w:t>complex</w:t>
      </w:r>
      <w:r w:rsidR="009A21D6" w:rsidRPr="00BC664E">
        <w:rPr>
          <w:sz w:val="24"/>
          <w:szCs w:val="24"/>
        </w:rPr>
        <w:t xml:space="preserve"> and disruptive.  The Sherman Act is a </w:t>
      </w:r>
      <w:r w:rsidR="00BC664E" w:rsidRPr="00BC664E">
        <w:rPr>
          <w:sz w:val="24"/>
          <w:szCs w:val="24"/>
        </w:rPr>
        <w:t>criminal</w:t>
      </w:r>
      <w:r w:rsidR="009A21D6" w:rsidRPr="00BC664E">
        <w:rPr>
          <w:sz w:val="24"/>
          <w:szCs w:val="24"/>
        </w:rPr>
        <w:t xml:space="preserve"> statute and may result in penalties punishable by steep fines and </w:t>
      </w:r>
      <w:r w:rsidR="00BC664E" w:rsidRPr="00BC664E">
        <w:rPr>
          <w:sz w:val="24"/>
          <w:szCs w:val="24"/>
        </w:rPr>
        <w:t>imprisonment</w:t>
      </w:r>
      <w:r w:rsidR="009A21D6" w:rsidRPr="00BC664E">
        <w:rPr>
          <w:sz w:val="24"/>
          <w:szCs w:val="24"/>
        </w:rPr>
        <w:t xml:space="preserve">.  The </w:t>
      </w:r>
      <w:r w:rsidR="00BC664E" w:rsidRPr="00BC664E">
        <w:rPr>
          <w:sz w:val="24"/>
          <w:szCs w:val="24"/>
        </w:rPr>
        <w:t>Justice</w:t>
      </w:r>
      <w:r w:rsidR="009A21D6" w:rsidRPr="00BC664E">
        <w:rPr>
          <w:sz w:val="24"/>
          <w:szCs w:val="24"/>
        </w:rPr>
        <w:t xml:space="preserve"> Department, state attorneys general and any person or company injured by a violation of the antitrust laws may bring an action for three times the amount of damages, plus attorney’s fees.</w:t>
      </w:r>
    </w:p>
    <w:p w14:paraId="332B49CA" w14:textId="77777777" w:rsidR="00BC664E" w:rsidRPr="00BC664E" w:rsidRDefault="00BC664E">
      <w:pPr>
        <w:rPr>
          <w:sz w:val="16"/>
          <w:szCs w:val="16"/>
        </w:rPr>
      </w:pPr>
    </w:p>
    <w:p w14:paraId="3377107C" w14:textId="4A58290A" w:rsidR="009A21D6" w:rsidRPr="00BC664E" w:rsidRDefault="009A21D6">
      <w:pPr>
        <w:rPr>
          <w:sz w:val="24"/>
          <w:szCs w:val="24"/>
        </w:rPr>
      </w:pPr>
      <w:r w:rsidRPr="00BC664E">
        <w:rPr>
          <w:sz w:val="24"/>
          <w:szCs w:val="24"/>
        </w:rPr>
        <w:t xml:space="preserve">If you have any questions or concerns at this meeting, please bring them to the </w:t>
      </w:r>
      <w:r w:rsidR="00BC664E" w:rsidRPr="00BC664E">
        <w:rPr>
          <w:sz w:val="24"/>
          <w:szCs w:val="24"/>
        </w:rPr>
        <w:t>attention</w:t>
      </w:r>
      <w:r w:rsidRPr="00BC664E">
        <w:rPr>
          <w:sz w:val="24"/>
          <w:szCs w:val="24"/>
        </w:rPr>
        <w:t xml:space="preserve"> of CRA staff.</w:t>
      </w:r>
    </w:p>
    <w:sectPr w:rsidR="009A21D6" w:rsidRPr="00BC664E" w:rsidSect="00BC664E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0F59" w14:textId="77777777" w:rsidR="005A3F3F" w:rsidRDefault="005A3F3F" w:rsidP="00BC664E">
      <w:pPr>
        <w:spacing w:after="0" w:line="240" w:lineRule="auto"/>
      </w:pPr>
      <w:r>
        <w:separator/>
      </w:r>
    </w:p>
  </w:endnote>
  <w:endnote w:type="continuationSeparator" w:id="0">
    <w:p w14:paraId="71049DBD" w14:textId="77777777" w:rsidR="005A3F3F" w:rsidRDefault="005A3F3F" w:rsidP="00BC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2245" w14:textId="7301351C" w:rsidR="00BC664E" w:rsidRDefault="00BC664E" w:rsidP="00BC664E">
    <w:pPr>
      <w:pStyle w:val="Footer"/>
      <w:jc w:val="center"/>
    </w:pPr>
    <w:r>
      <w:t xml:space="preserve">1121 L Street, Suite 607 </w:t>
    </w:r>
    <w:r>
      <w:rPr>
        <w:rFonts w:cstheme="minorHAnsi"/>
      </w:rPr>
      <w:t>•</w:t>
    </w:r>
    <w:r>
      <w:t xml:space="preserve"> Sacramento, CA  95814 </w:t>
    </w:r>
    <w:r>
      <w:rPr>
        <w:rFonts w:cstheme="minorHAnsi"/>
      </w:rPr>
      <w:t>•</w:t>
    </w:r>
    <w:r>
      <w:t xml:space="preserve"> P:916/443-1975 </w:t>
    </w:r>
    <w:r>
      <w:rPr>
        <w:rFonts w:cstheme="minorHAnsi"/>
      </w:rPr>
      <w:t>•</w:t>
    </w:r>
    <w:r>
      <w:t xml:space="preserve"> </w:t>
    </w:r>
    <w:r w:rsidRPr="00BC664E">
      <w:t>www.calretailers.com</w:t>
    </w:r>
    <w:r>
      <w:t xml:space="preserve"> </w:t>
    </w:r>
    <w:r>
      <w:rPr>
        <w:rFonts w:cstheme="minorHAnsi"/>
      </w:rPr>
      <w:t>•</w:t>
    </w:r>
    <w:r>
      <w:t xml:space="preserve"> cra@calretailers.com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73C1" w14:textId="77777777" w:rsidR="005A3F3F" w:rsidRDefault="005A3F3F" w:rsidP="00BC664E">
      <w:pPr>
        <w:spacing w:after="0" w:line="240" w:lineRule="auto"/>
      </w:pPr>
      <w:r>
        <w:separator/>
      </w:r>
    </w:p>
  </w:footnote>
  <w:footnote w:type="continuationSeparator" w:id="0">
    <w:p w14:paraId="1FD71B06" w14:textId="77777777" w:rsidR="005A3F3F" w:rsidRDefault="005A3F3F" w:rsidP="00BC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1E"/>
    <w:rsid w:val="00336061"/>
    <w:rsid w:val="003F309B"/>
    <w:rsid w:val="005A3F3F"/>
    <w:rsid w:val="009A21D6"/>
    <w:rsid w:val="009B76FA"/>
    <w:rsid w:val="00BC664E"/>
    <w:rsid w:val="00C4481E"/>
    <w:rsid w:val="00E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5AF0"/>
  <w15:chartTrackingRefBased/>
  <w15:docId w15:val="{E751FF8B-6CBE-48CD-AEE4-1F1F6D6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4E"/>
  </w:style>
  <w:style w:type="paragraph" w:styleId="Footer">
    <w:name w:val="footer"/>
    <w:basedOn w:val="Normal"/>
    <w:link w:val="FooterChar"/>
    <w:uiPriority w:val="99"/>
    <w:unhideWhenUsed/>
    <w:rsid w:val="00BC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4E"/>
  </w:style>
  <w:style w:type="character" w:styleId="Hyperlink">
    <w:name w:val="Hyperlink"/>
    <w:basedOn w:val="DefaultParagraphFont"/>
    <w:uiPriority w:val="99"/>
    <w:unhideWhenUsed/>
    <w:rsid w:val="00BC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Michelin</dc:creator>
  <cp:keywords/>
  <dc:description/>
  <cp:lastModifiedBy>Rachel Michelin</cp:lastModifiedBy>
  <cp:revision>2</cp:revision>
  <cp:lastPrinted>2019-08-26T20:32:00Z</cp:lastPrinted>
  <dcterms:created xsi:type="dcterms:W3CDTF">2019-08-21T17:04:00Z</dcterms:created>
  <dcterms:modified xsi:type="dcterms:W3CDTF">2019-08-26T21:56:00Z</dcterms:modified>
</cp:coreProperties>
</file>