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Default Extension="jpeg" ContentType="image/jpeg"/>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footer17.xml" ContentType="application/vnd.openxmlformats-officedocument.wordprocessingml.footer+xml"/>
  <Override PartName="/word/header17.xml" ContentType="application/vnd.openxmlformats-officedocument.wordprocessingml.header+xml"/>
  <Override PartName="/word/footer18.xml" ContentType="application/vnd.openxmlformats-officedocument.wordprocessingml.footer+xml"/>
  <Override PartName="/word/header18.xml" ContentType="application/vnd.openxmlformats-officedocument.wordprocessingml.header+xml"/>
  <Override PartName="/word/footer19.xml" ContentType="application/vnd.openxmlformats-officedocument.wordprocessingml.footer+xml"/>
  <Override PartName="/word/header19.xml" ContentType="application/vnd.openxmlformats-officedocument.wordprocessingml.header+xml"/>
  <Override PartName="/word/footer20.xml" ContentType="application/vnd.openxmlformats-officedocument.wordprocessingml.footer+xml"/>
  <Override PartName="/word/header20.xml" ContentType="application/vnd.openxmlformats-officedocument.wordprocessingml.header+xml"/>
  <Override PartName="/word/footer21.xml" ContentType="application/vnd.openxmlformats-officedocument.wordprocessingml.footer+xml"/>
  <Override PartName="/word/header21.xml" ContentType="application/vnd.openxmlformats-officedocument.wordprocessingml.header+xml"/>
  <Override PartName="/word/footer22.xml" ContentType="application/vnd.openxmlformats-officedocument.wordprocessingml.footer+xml"/>
  <Override PartName="/word/header22.xml" ContentType="application/vnd.openxmlformats-officedocument.wordprocessingml.header+xml"/>
  <Override PartName="/word/footer23.xml" ContentType="application/vnd.openxmlformats-officedocument.wordprocessingml.footer+xml"/>
  <Override PartName="/word/header23.xml" ContentType="application/vnd.openxmlformats-officedocument.wordprocessingml.header+xml"/>
  <Override PartName="/word/footer24.xml" ContentType="application/vnd.openxmlformats-officedocument.wordprocessingml.footer+xml"/>
  <Override PartName="/word/header24.xml" ContentType="application/vnd.openxmlformats-officedocument.wordprocessingml.header+xml"/>
  <Override PartName="/word/footer25.xml" ContentType="application/vnd.openxmlformats-officedocument.wordprocessingml.footer+xml"/>
  <Override PartName="/word/header25.xml" ContentType="application/vnd.openxmlformats-officedocument.wordprocessingml.header+xml"/>
  <Override PartName="/word/footer26.xml" ContentType="application/vnd.openxmlformats-officedocument.wordprocessingml.footer+xml"/>
  <Override PartName="/word/header26.xml" ContentType="application/vnd.openxmlformats-officedocument.wordprocessingml.header+xml"/>
  <Override PartName="/word/footer27.xml" ContentType="application/vnd.openxmlformats-officedocument.wordprocessingml.footer+xml"/>
  <Override PartName="/word/header27.xml" ContentType="application/vnd.openxmlformats-officedocument.wordprocessingml.header+xml"/>
  <Override PartName="/word/footer28.xml" ContentType="application/vnd.openxmlformats-officedocument.wordprocessingml.footer+xml"/>
  <Override PartName="/word/header28.xml" ContentType="application/vnd.openxmlformats-officedocument.wordprocessingml.header+xml"/>
  <Override PartName="/word/footer29.xml" ContentType="application/vnd.openxmlformats-officedocument.wordprocessingml.footer+xml"/>
  <Override PartName="/word/header29.xml" ContentType="application/vnd.openxmlformats-officedocument.wordprocessingml.header+xml"/>
  <Override PartName="/word/footer30.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2"/>
        <w:ind w:left="1208" w:right="1947"/>
        <w:jc w:val="center"/>
      </w:pPr>
      <w:r>
        <w:rPr/>
        <w:t>CALIFORNIA REGIONAL WATER QUALITY CONTROL BOARD LOS ANGELES REGION</w:t>
      </w:r>
    </w:p>
    <w:p>
      <w:pPr>
        <w:pStyle w:val="BodyText"/>
        <w:spacing w:before="10"/>
        <w:rPr>
          <w:b/>
          <w:sz w:val="20"/>
        </w:rPr>
      </w:pPr>
    </w:p>
    <w:p>
      <w:pPr>
        <w:spacing w:before="1"/>
        <w:ind w:left="3686" w:right="4424" w:firstLine="0"/>
        <w:jc w:val="center"/>
        <w:rPr>
          <w:b/>
          <w:sz w:val="20"/>
        </w:rPr>
      </w:pPr>
      <w:r>
        <w:rPr>
          <w:b/>
          <w:sz w:val="20"/>
        </w:rPr>
        <w:t>320 W 4th Street, Suite 200 Los Angeles, CA 90013</w:t>
      </w:r>
    </w:p>
    <w:p>
      <w:pPr>
        <w:spacing w:line="230" w:lineRule="exact" w:before="0"/>
        <w:ind w:left="1210" w:right="1947" w:firstLine="0"/>
        <w:jc w:val="center"/>
        <w:rPr>
          <w:b/>
          <w:sz w:val="20"/>
        </w:rPr>
      </w:pPr>
      <w:r>
        <w:rPr>
          <w:b/>
          <w:sz w:val="20"/>
        </w:rPr>
        <w:t>Phone (213) 576-6600 • Fax (213)</w:t>
      </w:r>
      <w:r>
        <w:rPr>
          <w:b/>
          <w:spacing w:val="-10"/>
          <w:sz w:val="20"/>
        </w:rPr>
        <w:t> </w:t>
      </w:r>
      <w:r>
        <w:rPr>
          <w:b/>
          <w:sz w:val="20"/>
        </w:rPr>
        <w:t>576-6640</w:t>
      </w:r>
    </w:p>
    <w:p>
      <w:pPr>
        <w:spacing w:before="0"/>
        <w:ind w:left="1210" w:right="1947" w:firstLine="0"/>
        <w:jc w:val="center"/>
        <w:rPr>
          <w:b/>
          <w:sz w:val="20"/>
        </w:rPr>
      </w:pPr>
      <w:hyperlink r:id="rId6">
        <w:r>
          <w:rPr>
            <w:b/>
            <w:sz w:val="20"/>
          </w:rPr>
          <w:t>http://www.waterboards.ca.gov/losangeles</w:t>
        </w:r>
      </w:hyperlink>
    </w:p>
    <w:p>
      <w:pPr>
        <w:pStyle w:val="BodyText"/>
        <w:spacing w:before="10"/>
        <w:rPr>
          <w:b/>
          <w:sz w:val="20"/>
        </w:rPr>
      </w:pPr>
    </w:p>
    <w:p>
      <w:pPr>
        <w:pStyle w:val="Heading1"/>
        <w:ind w:left="1208" w:right="1947"/>
        <w:jc w:val="center"/>
      </w:pPr>
      <w:r>
        <w:rPr/>
        <w:t>ORDER NO. R4-2024-XXXX</w:t>
      </w:r>
    </w:p>
    <w:p>
      <w:pPr>
        <w:pStyle w:val="BodyText"/>
        <w:spacing w:before="9"/>
        <w:rPr>
          <w:b/>
          <w:sz w:val="20"/>
        </w:rPr>
      </w:pPr>
    </w:p>
    <w:p>
      <w:pPr>
        <w:spacing w:before="0"/>
        <w:ind w:left="446" w:right="1188" w:firstLine="2"/>
        <w:jc w:val="center"/>
        <w:rPr>
          <w:b/>
          <w:sz w:val="24"/>
        </w:rPr>
      </w:pPr>
      <w:r>
        <w:rPr>
          <w:b/>
          <w:sz w:val="24"/>
        </w:rPr>
        <w:t>WASTE DISCHARGE REQUIREMENTS FOR STORMWATER DISCHARGES ASSOCIATED WITH COMMERCIAL, INDUSTRIAL, AND INSTITUTIONAL FACILITIES IN THE DOMINGUEZ CHANNEL/INNER AND OUTER LOS</w:t>
      </w:r>
      <w:r>
        <w:rPr>
          <w:b/>
          <w:spacing w:val="-39"/>
          <w:sz w:val="24"/>
        </w:rPr>
        <w:t> </w:t>
      </w:r>
      <w:r>
        <w:rPr>
          <w:b/>
          <w:sz w:val="24"/>
        </w:rPr>
        <w:t>ANGELES AND LONG BEACH HARBOR WATERSHED AND THE LOS CERRITOS CHANNEL/ALAMITOS BAY</w:t>
      </w:r>
      <w:r>
        <w:rPr>
          <w:b/>
          <w:spacing w:val="-2"/>
          <w:sz w:val="24"/>
        </w:rPr>
        <w:t> </w:t>
      </w:r>
      <w:r>
        <w:rPr>
          <w:b/>
          <w:sz w:val="24"/>
        </w:rPr>
        <w:t>WATERSHED</w:t>
      </w:r>
    </w:p>
    <w:p>
      <w:pPr>
        <w:pStyle w:val="BodyText"/>
        <w:rPr>
          <w:b/>
        </w:rPr>
      </w:pPr>
    </w:p>
    <w:p>
      <w:pPr>
        <w:spacing w:before="0"/>
        <w:ind w:left="1209" w:right="1947" w:firstLine="0"/>
        <w:jc w:val="center"/>
        <w:rPr>
          <w:b/>
          <w:sz w:val="24"/>
        </w:rPr>
      </w:pPr>
      <w:r>
        <w:rPr>
          <w:b/>
          <w:sz w:val="24"/>
        </w:rPr>
        <w:t>GENERAL NPDES PERMIT NO. XXXXXX</w:t>
      </w:r>
    </w:p>
    <w:p>
      <w:pPr>
        <w:pStyle w:val="BodyText"/>
        <w:spacing w:before="10"/>
        <w:rPr>
          <w:b/>
          <w:sz w:val="20"/>
        </w:rPr>
      </w:pPr>
    </w:p>
    <w:p>
      <w:pPr>
        <w:pStyle w:val="BodyText"/>
        <w:tabs>
          <w:tab w:pos="4599" w:val="left" w:leader="none"/>
        </w:tabs>
        <w:ind w:left="280" w:right="5123"/>
        <w:jc w:val="both"/>
        <w:rPr>
          <w:b/>
        </w:rPr>
      </w:pPr>
      <w:r>
        <w:rPr/>
        <w:t>This Order was</w:t>
      </w:r>
      <w:r>
        <w:rPr>
          <w:spacing w:val="-5"/>
        </w:rPr>
        <w:t> </w:t>
      </w:r>
      <w:r>
        <w:rPr/>
        <w:t>adopted</w:t>
      </w:r>
      <w:r>
        <w:rPr>
          <w:spacing w:val="-2"/>
        </w:rPr>
        <w:t> </w:t>
      </w:r>
      <w:r>
        <w:rPr/>
        <w:t>on:</w:t>
        <w:tab/>
      </w:r>
      <w:r>
        <w:rPr>
          <w:b/>
          <w:spacing w:val="-3"/>
        </w:rPr>
        <w:t>&lt;DATE&gt; </w:t>
      </w:r>
      <w:r>
        <w:rPr/>
        <w:t>This Order shall become effective on: </w:t>
      </w:r>
      <w:r>
        <w:rPr>
          <w:b/>
        </w:rPr>
        <w:t>&lt;DATE&gt; </w:t>
      </w:r>
      <w:r>
        <w:rPr/>
        <w:t>This Order shall</w:t>
      </w:r>
      <w:r>
        <w:rPr>
          <w:spacing w:val="-6"/>
        </w:rPr>
        <w:t> </w:t>
      </w:r>
      <w:r>
        <w:rPr/>
        <w:t>expire</w:t>
      </w:r>
      <w:r>
        <w:rPr>
          <w:spacing w:val="-2"/>
        </w:rPr>
        <w:t> </w:t>
      </w:r>
      <w:r>
        <w:rPr/>
        <w:t>on:</w:t>
        <w:tab/>
      </w:r>
      <w:r>
        <w:rPr>
          <w:b/>
          <w:spacing w:val="-4"/>
        </w:rPr>
        <w:t>&lt;DATE&gt;</w:t>
      </w:r>
    </w:p>
    <w:p>
      <w:pPr>
        <w:pStyle w:val="BodyText"/>
        <w:spacing w:before="10"/>
        <w:rPr>
          <w:b/>
          <w:sz w:val="20"/>
        </w:rPr>
      </w:pPr>
    </w:p>
    <w:p>
      <w:pPr>
        <w:pStyle w:val="BodyText"/>
        <w:ind w:left="280" w:right="1035"/>
      </w:pPr>
      <w:r>
        <w:rPr/>
        <w:t>The US Environmental Protection Agency (USEPA) and the California Regional Water Quality Control Board, Los Angeles Region (Los Angeles Water Board) have classified discharges covered under this General National Pollutant Discharge Elimination System (NPDES) Permit as minor discharges.</w:t>
      </w:r>
    </w:p>
    <w:p>
      <w:pPr>
        <w:pStyle w:val="BodyText"/>
        <w:spacing w:before="10"/>
        <w:rPr>
          <w:sz w:val="20"/>
        </w:rPr>
      </w:pPr>
    </w:p>
    <w:p>
      <w:pPr>
        <w:pStyle w:val="BodyText"/>
        <w:ind w:left="280" w:right="1209"/>
      </w:pPr>
      <w:r>
        <w:rPr/>
        <w:t>IT IS HEREBY ORDERED, that, in order to meet the provisions contained in division 7 of the California Water Code (CWC) and regulations adopted thereunder, and the provisions of the federal Clean Water Act (CWA), and regulations and guidelines adopted thereunder, the Discharger shall comply with the requirements in this Order.</w:t>
      </w:r>
    </w:p>
    <w:p>
      <w:pPr>
        <w:pStyle w:val="BodyText"/>
        <w:spacing w:before="10"/>
        <w:rPr>
          <w:sz w:val="20"/>
        </w:rPr>
      </w:pPr>
    </w:p>
    <w:p>
      <w:pPr>
        <w:pStyle w:val="BodyText"/>
        <w:ind w:left="279" w:right="1703"/>
        <w:rPr>
          <w:b/>
        </w:rPr>
      </w:pPr>
      <w:r>
        <w:rPr/>
        <w:t>I, Susana Arredondo, Executive Officer, do hereby certify that this Order with all attachments is a full, true, and correct copy of the Order adopted by the California Regional Water Quality Control Board, Los Angeles Region, on </w:t>
      </w:r>
      <w:r>
        <w:rPr>
          <w:b/>
        </w:rPr>
        <w:t>&lt;DATE&gt;.</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7"/>
        <w:rPr>
          <w:b/>
          <w:sz w:val="29"/>
        </w:rPr>
      </w:pPr>
      <w:r>
        <w:rPr/>
        <w:pict>
          <v:shape style="position:absolute;margin-left:288.016815pt;margin-top:19.411938pt;width:233.55pt;height:.1pt;mso-position-horizontal-relative:page;mso-position-vertical-relative:paragraph;z-index:-251658240;mso-wrap-distance-left:0;mso-wrap-distance-right:0" coordorigin="5760,388" coordsize="4671,0" path="m5760,388l10431,388e" filled="false" stroked="true" strokeweight=".756pt" strokecolor="#000000">
            <v:path arrowok="t"/>
            <v:stroke dashstyle="solid"/>
            <w10:wrap type="topAndBottom"/>
          </v:shape>
        </w:pict>
      </w:r>
    </w:p>
    <w:p>
      <w:pPr>
        <w:pStyle w:val="BodyText"/>
        <w:spacing w:before="6"/>
        <w:rPr>
          <w:b/>
          <w:sz w:val="10"/>
        </w:rPr>
      </w:pPr>
    </w:p>
    <w:p>
      <w:pPr>
        <w:pStyle w:val="BodyText"/>
        <w:spacing w:before="92"/>
        <w:ind w:left="5320"/>
      </w:pPr>
      <w:r>
        <w:rPr/>
        <w:t>Susana Arredondo, Executive Officer</w:t>
      </w:r>
    </w:p>
    <w:p>
      <w:pPr>
        <w:spacing w:after="0"/>
        <w:sectPr>
          <w:footerReference w:type="default" r:id="rId5"/>
          <w:type w:val="continuous"/>
          <w:pgSz w:w="12240" w:h="15840"/>
          <w:pgMar w:footer="788" w:top="1200" w:bottom="980" w:left="1160" w:right="420"/>
          <w:pgNumType w:start="1"/>
        </w:sectPr>
      </w:pPr>
    </w:p>
    <w:p>
      <w:pPr>
        <w:pStyle w:val="BodyText"/>
        <w:spacing w:before="11"/>
        <w:rPr>
          <w:sz w:val="15"/>
        </w:rPr>
      </w:pPr>
    </w:p>
    <w:p>
      <w:pPr>
        <w:pStyle w:val="Heading1"/>
        <w:spacing w:before="92"/>
        <w:ind w:left="1209" w:right="1947"/>
        <w:jc w:val="center"/>
      </w:pPr>
      <w:r>
        <w:rPr/>
        <w:t>TABLE OF CONTENTS</w:t>
      </w:r>
    </w:p>
    <w:p>
      <w:pPr>
        <w:spacing w:after="0"/>
        <w:jc w:val="center"/>
        <w:sectPr>
          <w:headerReference w:type="default" r:id="rId7"/>
          <w:footerReference w:type="default" r:id="rId8"/>
          <w:pgSz w:w="12240" w:h="15840"/>
          <w:pgMar w:header="728" w:footer="788" w:top="1540" w:bottom="1648" w:left="1160" w:right="420"/>
          <w:pgNumType w:start="2"/>
        </w:sectPr>
      </w:pPr>
    </w:p>
    <w:sdt>
      <w:sdtPr>
        <w:docPartObj>
          <w:docPartGallery w:val="Table of Contents"/>
          <w:docPartUnique/>
        </w:docPartObj>
      </w:sdtPr>
      <w:sdtEndPr/>
      <w:sdtContent>
        <w:p>
          <w:pPr>
            <w:pStyle w:val="TOC1"/>
            <w:numPr>
              <w:ilvl w:val="0"/>
              <w:numId w:val="1"/>
            </w:numPr>
            <w:tabs>
              <w:tab w:pos="819" w:val="left" w:leader="none"/>
              <w:tab w:pos="820" w:val="left" w:leader="none"/>
              <w:tab w:pos="9512" w:val="left" w:leader="dot"/>
            </w:tabs>
            <w:spacing w:line="240" w:lineRule="auto" w:before="240" w:after="0"/>
            <w:ind w:left="820" w:right="0" w:hanging="540"/>
            <w:jc w:val="left"/>
          </w:pPr>
          <w:hyperlink w:history="true" w:anchor="_TOC_250051">
            <w:r>
              <w:rPr/>
              <w:t>Facility/Discharge</w:t>
            </w:r>
            <w:r>
              <w:rPr>
                <w:spacing w:val="-1"/>
              </w:rPr>
              <w:t> </w:t>
            </w:r>
            <w:r>
              <w:rPr/>
              <w:t>Information</w:t>
              <w:tab/>
              <w:t>5</w:t>
            </w:r>
          </w:hyperlink>
        </w:p>
        <w:p>
          <w:pPr>
            <w:pStyle w:val="TOC1"/>
            <w:numPr>
              <w:ilvl w:val="0"/>
              <w:numId w:val="1"/>
            </w:numPr>
            <w:tabs>
              <w:tab w:pos="819" w:val="left" w:leader="none"/>
              <w:tab w:pos="820" w:val="left" w:leader="none"/>
              <w:tab w:pos="9516" w:val="left" w:leader="dot"/>
            </w:tabs>
            <w:spacing w:line="240" w:lineRule="auto" w:before="60" w:after="0"/>
            <w:ind w:left="820" w:right="0" w:hanging="540"/>
            <w:jc w:val="left"/>
          </w:pPr>
          <w:hyperlink w:history="true" w:anchor="_TOC_250050">
            <w:r>
              <w:rPr/>
              <w:t>Findings</w:t>
              <w:tab/>
              <w:t>5</w:t>
            </w:r>
          </w:hyperlink>
        </w:p>
        <w:p>
          <w:pPr>
            <w:pStyle w:val="TOC2"/>
            <w:numPr>
              <w:ilvl w:val="1"/>
              <w:numId w:val="1"/>
            </w:numPr>
            <w:tabs>
              <w:tab w:pos="1000" w:val="left" w:leader="none"/>
              <w:tab w:pos="9513" w:val="left" w:leader="dot"/>
            </w:tabs>
            <w:spacing w:line="240" w:lineRule="auto" w:before="60" w:after="0"/>
            <w:ind w:left="1000" w:right="0" w:hanging="476"/>
            <w:jc w:val="left"/>
          </w:pPr>
          <w:hyperlink w:history="true" w:anchor="_TOC_250049">
            <w:r>
              <w:rPr/>
              <w:t>Legal</w:t>
            </w:r>
            <w:r>
              <w:rPr>
                <w:spacing w:val="-3"/>
              </w:rPr>
              <w:t> </w:t>
            </w:r>
            <w:r>
              <w:rPr/>
              <w:t>Authorities</w:t>
              <w:tab/>
              <w:t>5</w:t>
            </w:r>
          </w:hyperlink>
        </w:p>
        <w:p>
          <w:pPr>
            <w:pStyle w:val="TOC2"/>
            <w:numPr>
              <w:ilvl w:val="1"/>
              <w:numId w:val="1"/>
            </w:numPr>
            <w:tabs>
              <w:tab w:pos="1000" w:val="left" w:leader="none"/>
              <w:tab w:pos="9512" w:val="left" w:leader="dot"/>
            </w:tabs>
            <w:spacing w:line="240" w:lineRule="auto" w:before="60" w:after="0"/>
            <w:ind w:left="1000" w:right="0" w:hanging="476"/>
            <w:jc w:val="left"/>
          </w:pPr>
          <w:hyperlink w:history="true" w:anchor="_TOC_250048">
            <w:r>
              <w:rPr/>
              <w:t>Rationale</w:t>
            </w:r>
            <w:r>
              <w:rPr>
                <w:spacing w:val="-5"/>
              </w:rPr>
              <w:t> </w:t>
            </w:r>
            <w:r>
              <w:rPr/>
              <w:t>for</w:t>
            </w:r>
            <w:r>
              <w:rPr>
                <w:spacing w:val="-4"/>
              </w:rPr>
              <w:t> </w:t>
            </w:r>
            <w:r>
              <w:rPr/>
              <w:t>Requirements</w:t>
              <w:tab/>
              <w:t>5</w:t>
            </w:r>
          </w:hyperlink>
        </w:p>
        <w:p>
          <w:pPr>
            <w:pStyle w:val="TOC2"/>
            <w:numPr>
              <w:ilvl w:val="1"/>
              <w:numId w:val="1"/>
            </w:numPr>
            <w:tabs>
              <w:tab w:pos="1000" w:val="left" w:leader="none"/>
              <w:tab w:pos="9514" w:val="left" w:leader="dot"/>
            </w:tabs>
            <w:spacing w:line="240" w:lineRule="auto" w:before="60" w:after="0"/>
            <w:ind w:left="1000" w:right="0" w:hanging="476"/>
            <w:jc w:val="left"/>
          </w:pPr>
          <w:hyperlink w:history="true" w:anchor="_TOC_250047">
            <w:r>
              <w:rPr/>
              <w:t>Background</w:t>
              <w:tab/>
              <w:t>5</w:t>
            </w:r>
          </w:hyperlink>
        </w:p>
        <w:p>
          <w:pPr>
            <w:pStyle w:val="TOC2"/>
            <w:numPr>
              <w:ilvl w:val="1"/>
              <w:numId w:val="1"/>
            </w:numPr>
            <w:tabs>
              <w:tab w:pos="1000" w:val="left" w:leader="none"/>
              <w:tab w:pos="9513" w:val="left" w:leader="dot"/>
            </w:tabs>
            <w:spacing w:line="240" w:lineRule="auto" w:before="60" w:after="0"/>
            <w:ind w:left="1000" w:right="0" w:hanging="476"/>
            <w:jc w:val="left"/>
          </w:pPr>
          <w:hyperlink w:history="true" w:anchor="_TOC_250046">
            <w:r>
              <w:rPr/>
              <w:t>Discharge</w:t>
            </w:r>
            <w:r>
              <w:rPr>
                <w:spacing w:val="-5"/>
              </w:rPr>
              <w:t> </w:t>
            </w:r>
            <w:r>
              <w:rPr/>
              <w:t>Category</w:t>
            </w:r>
            <w:r>
              <w:rPr>
                <w:spacing w:val="-5"/>
              </w:rPr>
              <w:t> </w:t>
            </w:r>
            <w:r>
              <w:rPr/>
              <w:t>Description</w:t>
              <w:tab/>
              <w:t>6</w:t>
            </w:r>
          </w:hyperlink>
        </w:p>
        <w:p>
          <w:pPr>
            <w:pStyle w:val="TOC2"/>
            <w:numPr>
              <w:ilvl w:val="1"/>
              <w:numId w:val="1"/>
            </w:numPr>
            <w:tabs>
              <w:tab w:pos="1000" w:val="left" w:leader="none"/>
              <w:tab w:pos="9512" w:val="left" w:leader="dot"/>
            </w:tabs>
            <w:spacing w:line="240" w:lineRule="auto" w:before="60" w:after="0"/>
            <w:ind w:left="1000" w:right="0" w:hanging="476"/>
            <w:jc w:val="left"/>
          </w:pPr>
          <w:hyperlink w:history="true" w:anchor="_TOC_250045">
            <w:r>
              <w:rPr/>
              <w:t>Notification of</w:t>
            </w:r>
            <w:r>
              <w:rPr>
                <w:spacing w:val="-11"/>
              </w:rPr>
              <w:t> </w:t>
            </w:r>
            <w:r>
              <w:rPr/>
              <w:t>Interested</w:t>
            </w:r>
            <w:r>
              <w:rPr>
                <w:spacing w:val="-4"/>
              </w:rPr>
              <w:t> </w:t>
            </w:r>
            <w:r>
              <w:rPr/>
              <w:t>Parties</w:t>
              <w:tab/>
              <w:t>6</w:t>
            </w:r>
          </w:hyperlink>
        </w:p>
        <w:p>
          <w:pPr>
            <w:pStyle w:val="TOC2"/>
            <w:numPr>
              <w:ilvl w:val="1"/>
              <w:numId w:val="1"/>
            </w:numPr>
            <w:tabs>
              <w:tab w:pos="1000" w:val="left" w:leader="none"/>
              <w:tab w:pos="9512" w:val="left" w:leader="dot"/>
            </w:tabs>
            <w:spacing w:line="240" w:lineRule="auto" w:before="60" w:after="0"/>
            <w:ind w:left="1000" w:right="0" w:hanging="476"/>
            <w:jc w:val="left"/>
          </w:pPr>
          <w:hyperlink w:history="true" w:anchor="_TOC_250044">
            <w:r>
              <w:rPr/>
              <w:t>Consideration of</w:t>
            </w:r>
            <w:r>
              <w:rPr>
                <w:spacing w:val="-8"/>
              </w:rPr>
              <w:t> </w:t>
            </w:r>
            <w:r>
              <w:rPr/>
              <w:t>Public</w:t>
            </w:r>
            <w:r>
              <w:rPr>
                <w:spacing w:val="-4"/>
              </w:rPr>
              <w:t> </w:t>
            </w:r>
            <w:r>
              <w:rPr/>
              <w:t>Comment</w:t>
              <w:tab/>
              <w:t>6</w:t>
            </w:r>
          </w:hyperlink>
        </w:p>
        <w:p>
          <w:pPr>
            <w:pStyle w:val="TOC1"/>
            <w:numPr>
              <w:ilvl w:val="0"/>
              <w:numId w:val="1"/>
            </w:numPr>
            <w:tabs>
              <w:tab w:pos="819" w:val="left" w:leader="none"/>
              <w:tab w:pos="820" w:val="left" w:leader="none"/>
              <w:tab w:pos="9515" w:val="left" w:leader="dot"/>
            </w:tabs>
            <w:spacing w:line="240" w:lineRule="auto" w:before="60" w:after="0"/>
            <w:ind w:left="820" w:right="0" w:hanging="540"/>
            <w:jc w:val="left"/>
          </w:pPr>
          <w:r>
            <w:rPr/>
            <w:t>Legal</w:t>
          </w:r>
          <w:r>
            <w:rPr>
              <w:spacing w:val="-5"/>
            </w:rPr>
            <w:t> </w:t>
          </w:r>
          <w:r>
            <w:rPr/>
            <w:t>Authorities</w:t>
            <w:tab/>
            <w:t>7</w:t>
          </w:r>
        </w:p>
        <w:p>
          <w:pPr>
            <w:pStyle w:val="TOC2"/>
            <w:numPr>
              <w:ilvl w:val="1"/>
              <w:numId w:val="1"/>
            </w:numPr>
            <w:tabs>
              <w:tab w:pos="1000" w:val="left" w:leader="none"/>
              <w:tab w:pos="9516" w:val="left" w:leader="dot"/>
            </w:tabs>
            <w:spacing w:line="240" w:lineRule="auto" w:before="60" w:after="0"/>
            <w:ind w:left="1000" w:right="0" w:hanging="476"/>
            <w:jc w:val="left"/>
          </w:pPr>
          <w:hyperlink w:history="true" w:anchor="_TOC_250043">
            <w:r>
              <w:rPr/>
              <w:t>Applicability</w:t>
              <w:tab/>
              <w:t>7</w:t>
            </w:r>
          </w:hyperlink>
        </w:p>
        <w:p>
          <w:pPr>
            <w:pStyle w:val="TOC2"/>
            <w:numPr>
              <w:ilvl w:val="1"/>
              <w:numId w:val="1"/>
            </w:numPr>
            <w:tabs>
              <w:tab w:pos="1000" w:val="left" w:leader="none"/>
              <w:tab w:pos="9510" w:val="left" w:leader="dot"/>
            </w:tabs>
            <w:spacing w:line="240" w:lineRule="auto" w:before="60" w:after="0"/>
            <w:ind w:left="1000" w:right="0" w:hanging="476"/>
            <w:jc w:val="left"/>
          </w:pPr>
          <w:r>
            <w:rPr/>
            <w:t>Notice of Intent and Permit</w:t>
          </w:r>
          <w:r>
            <w:rPr>
              <w:spacing w:val="-15"/>
            </w:rPr>
            <w:t> </w:t>
          </w:r>
          <w:r>
            <w:rPr/>
            <w:t>Registration</w:t>
          </w:r>
          <w:r>
            <w:rPr>
              <w:spacing w:val="-2"/>
            </w:rPr>
            <w:t> </w:t>
          </w:r>
          <w:r>
            <w:rPr/>
            <w:t>Documents</w:t>
            <w:tab/>
            <w:t>8</w:t>
          </w:r>
        </w:p>
        <w:p>
          <w:pPr>
            <w:pStyle w:val="TOC3"/>
            <w:numPr>
              <w:ilvl w:val="2"/>
              <w:numId w:val="1"/>
            </w:numPr>
            <w:tabs>
              <w:tab w:pos="1599" w:val="left" w:leader="none"/>
              <w:tab w:pos="1600" w:val="left" w:leader="none"/>
              <w:tab w:pos="9503" w:val="left" w:leader="dot"/>
            </w:tabs>
            <w:spacing w:line="240" w:lineRule="auto" w:before="61" w:after="0"/>
            <w:ind w:left="755" w:right="1020" w:firstLine="0"/>
            <w:jc w:val="left"/>
          </w:pPr>
          <w:hyperlink w:history="true" w:anchor="_TOC_250042">
            <w:r>
              <w:rPr/>
              <w:t>Compliance Option 1 – Agreement with Local Watershed Management Group to Fund</w:t>
            </w:r>
            <w:r>
              <w:rPr>
                <w:spacing w:val="-7"/>
              </w:rPr>
              <w:t> </w:t>
            </w:r>
            <w:r>
              <w:rPr/>
              <w:t>Regional</w:t>
            </w:r>
            <w:r>
              <w:rPr>
                <w:spacing w:val="-3"/>
              </w:rPr>
              <w:t> </w:t>
            </w:r>
            <w:r>
              <w:rPr/>
              <w:t>Project</w:t>
              <w:tab/>
            </w:r>
            <w:r>
              <w:rPr>
                <w:spacing w:val="-17"/>
              </w:rPr>
              <w:t>8</w:t>
            </w:r>
          </w:hyperlink>
        </w:p>
        <w:p>
          <w:pPr>
            <w:pStyle w:val="TOC3"/>
            <w:numPr>
              <w:ilvl w:val="2"/>
              <w:numId w:val="1"/>
            </w:numPr>
            <w:tabs>
              <w:tab w:pos="1599" w:val="left" w:leader="none"/>
              <w:tab w:pos="1600" w:val="left" w:leader="none"/>
              <w:tab w:pos="9506" w:val="left" w:leader="dot"/>
            </w:tabs>
            <w:spacing w:line="240" w:lineRule="auto" w:before="0" w:after="0"/>
            <w:ind w:left="755" w:right="1018" w:firstLine="0"/>
            <w:jc w:val="left"/>
          </w:pPr>
          <w:hyperlink w:history="true" w:anchor="_TOC_250041">
            <w:r>
              <w:rPr/>
              <w:t>Compliance Option 2 – Facility-Specific Design Standard to Reduce Stormwater</w:t>
            </w:r>
            <w:r>
              <w:rPr>
                <w:spacing w:val="-1"/>
              </w:rPr>
              <w:t> </w:t>
            </w:r>
            <w:r>
              <w:rPr/>
              <w:t>Runoff</w:t>
              <w:tab/>
            </w:r>
            <w:r>
              <w:rPr>
                <w:spacing w:val="-18"/>
              </w:rPr>
              <w:t>8</w:t>
            </w:r>
          </w:hyperlink>
        </w:p>
        <w:p>
          <w:pPr>
            <w:pStyle w:val="TOC3"/>
            <w:numPr>
              <w:ilvl w:val="2"/>
              <w:numId w:val="1"/>
            </w:numPr>
            <w:tabs>
              <w:tab w:pos="1599" w:val="left" w:leader="none"/>
              <w:tab w:pos="1600" w:val="left" w:leader="none"/>
              <w:tab w:pos="9507" w:val="left" w:leader="dot"/>
            </w:tabs>
            <w:spacing w:line="240" w:lineRule="auto" w:before="0" w:after="0"/>
            <w:ind w:left="755" w:right="1016" w:firstLine="0"/>
            <w:jc w:val="left"/>
          </w:pPr>
          <w:hyperlink w:history="true" w:anchor="_TOC_250040">
            <w:r>
              <w:rPr/>
              <w:t>Compliance Option 3 – Direct Demonstration of Compliance with Effluent Limitations</w:t>
              <w:tab/>
            </w:r>
            <w:r>
              <w:rPr>
                <w:spacing w:val="-17"/>
              </w:rPr>
              <w:t>9</w:t>
            </w:r>
          </w:hyperlink>
        </w:p>
        <w:p>
          <w:pPr>
            <w:pStyle w:val="TOC2"/>
            <w:numPr>
              <w:ilvl w:val="1"/>
              <w:numId w:val="1"/>
            </w:numPr>
            <w:tabs>
              <w:tab w:pos="1000" w:val="left" w:leader="none"/>
              <w:tab w:pos="9515" w:val="left" w:leader="dot"/>
            </w:tabs>
            <w:spacing w:line="240" w:lineRule="auto" w:before="0" w:after="0"/>
            <w:ind w:left="1000" w:right="0" w:hanging="476"/>
            <w:jc w:val="left"/>
          </w:pPr>
          <w:hyperlink w:history="true" w:anchor="_TOC_250039">
            <w:r>
              <w:rPr/>
              <w:t>Annual</w:t>
            </w:r>
            <w:r>
              <w:rPr>
                <w:spacing w:val="-2"/>
              </w:rPr>
              <w:t> </w:t>
            </w:r>
            <w:r>
              <w:rPr/>
              <w:t>Fee</w:t>
              <w:tab/>
              <w:t>9</w:t>
            </w:r>
          </w:hyperlink>
        </w:p>
        <w:p>
          <w:pPr>
            <w:pStyle w:val="TOC2"/>
            <w:numPr>
              <w:ilvl w:val="1"/>
              <w:numId w:val="1"/>
            </w:numPr>
            <w:tabs>
              <w:tab w:pos="1000" w:val="left" w:leader="none"/>
              <w:tab w:pos="9511" w:val="left" w:leader="dot"/>
            </w:tabs>
            <w:spacing w:line="240" w:lineRule="auto" w:before="60" w:after="0"/>
            <w:ind w:left="1000" w:right="0" w:hanging="476"/>
            <w:jc w:val="left"/>
          </w:pPr>
          <w:r>
            <w:rPr/>
            <w:t>Timing for Submittal of</w:t>
          </w:r>
          <w:r>
            <w:rPr>
              <w:spacing w:val="-16"/>
            </w:rPr>
            <w:t> </w:t>
          </w:r>
          <w:r>
            <w:rPr/>
            <w:t>Enrollment</w:t>
          </w:r>
          <w:r>
            <w:rPr>
              <w:spacing w:val="-4"/>
            </w:rPr>
            <w:t> </w:t>
          </w:r>
          <w:r>
            <w:rPr/>
            <w:t>Documents</w:t>
            <w:tab/>
            <w:t>9</w:t>
          </w:r>
        </w:p>
        <w:p>
          <w:pPr>
            <w:pStyle w:val="TOC2"/>
            <w:numPr>
              <w:ilvl w:val="1"/>
              <w:numId w:val="1"/>
            </w:numPr>
            <w:tabs>
              <w:tab w:pos="1000" w:val="left" w:leader="none"/>
              <w:tab w:pos="9380" w:val="left" w:leader="dot"/>
            </w:tabs>
            <w:spacing w:line="240" w:lineRule="auto" w:before="60" w:after="0"/>
            <w:ind w:left="1000" w:right="0" w:hanging="476"/>
            <w:jc w:val="left"/>
          </w:pPr>
          <w:r>
            <w:rPr/>
            <w:t>Notice</w:t>
          </w:r>
          <w:r>
            <w:rPr>
              <w:spacing w:val="-2"/>
            </w:rPr>
            <w:t> </w:t>
          </w:r>
          <w:r>
            <w:rPr/>
            <w:t>of</w:t>
          </w:r>
          <w:r>
            <w:rPr>
              <w:spacing w:val="-2"/>
            </w:rPr>
            <w:t> </w:t>
          </w:r>
          <w:r>
            <w:rPr/>
            <w:t>Termination</w:t>
            <w:tab/>
            <w:t>10</w:t>
          </w:r>
        </w:p>
        <w:p>
          <w:pPr>
            <w:pStyle w:val="TOC2"/>
            <w:numPr>
              <w:ilvl w:val="1"/>
              <w:numId w:val="1"/>
            </w:numPr>
            <w:tabs>
              <w:tab w:pos="1000" w:val="left" w:leader="none"/>
              <w:tab w:pos="9377" w:val="left" w:leader="dot"/>
            </w:tabs>
            <w:spacing w:line="240" w:lineRule="auto" w:before="60" w:after="0"/>
            <w:ind w:left="1000" w:right="0" w:hanging="476"/>
            <w:jc w:val="left"/>
          </w:pPr>
          <w:r>
            <w:rPr/>
            <w:t>Chage of Facility Location</w:t>
          </w:r>
          <w:r>
            <w:rPr>
              <w:spacing w:val="-14"/>
            </w:rPr>
            <w:t> </w:t>
          </w:r>
          <w:r>
            <w:rPr/>
            <w:t>or</w:t>
          </w:r>
          <w:r>
            <w:rPr>
              <w:spacing w:val="-3"/>
            </w:rPr>
            <w:t> </w:t>
          </w:r>
          <w:r>
            <w:rPr/>
            <w:t>Ownership</w:t>
            <w:tab/>
            <w:t>10</w:t>
          </w:r>
        </w:p>
        <w:p>
          <w:pPr>
            <w:pStyle w:val="TOC1"/>
            <w:numPr>
              <w:ilvl w:val="0"/>
              <w:numId w:val="1"/>
            </w:numPr>
            <w:tabs>
              <w:tab w:pos="819" w:val="left" w:leader="none"/>
              <w:tab w:pos="820" w:val="left" w:leader="none"/>
              <w:tab w:pos="9379" w:val="left" w:leader="dot"/>
            </w:tabs>
            <w:spacing w:line="240" w:lineRule="auto" w:before="59" w:after="0"/>
            <w:ind w:left="820" w:right="0" w:hanging="540"/>
            <w:jc w:val="left"/>
          </w:pPr>
          <w:hyperlink w:history="true" w:anchor="_TOC_250038">
            <w:r>
              <w:rPr/>
              <w:t>Discharge</w:t>
            </w:r>
            <w:r>
              <w:rPr>
                <w:spacing w:val="-3"/>
              </w:rPr>
              <w:t> </w:t>
            </w:r>
            <w:r>
              <w:rPr/>
              <w:t>Prohibitions</w:t>
              <w:tab/>
              <w:t>10</w:t>
            </w:r>
          </w:hyperlink>
        </w:p>
        <w:p>
          <w:pPr>
            <w:pStyle w:val="TOC2"/>
            <w:numPr>
              <w:ilvl w:val="1"/>
              <w:numId w:val="1"/>
            </w:numPr>
            <w:tabs>
              <w:tab w:pos="1000" w:val="left" w:leader="none"/>
              <w:tab w:pos="9376" w:val="left" w:leader="dot"/>
            </w:tabs>
            <w:spacing w:line="240" w:lineRule="auto" w:before="60" w:after="0"/>
            <w:ind w:left="1000" w:right="0" w:hanging="476"/>
            <w:jc w:val="left"/>
          </w:pPr>
          <w:hyperlink w:history="true" w:anchor="_TOC_250037">
            <w:r>
              <w:rPr/>
              <w:t>Discharges Inconsistent</w:t>
            </w:r>
            <w:r>
              <w:rPr>
                <w:spacing w:val="-7"/>
              </w:rPr>
              <w:t> </w:t>
            </w:r>
            <w:r>
              <w:rPr/>
              <w:t>with</w:t>
            </w:r>
            <w:r>
              <w:rPr>
                <w:spacing w:val="-4"/>
              </w:rPr>
              <w:t> </w:t>
            </w:r>
            <w:r>
              <w:rPr/>
              <w:t>Eligibility</w:t>
              <w:tab/>
              <w:t>10</w:t>
            </w:r>
          </w:hyperlink>
        </w:p>
        <w:p>
          <w:pPr>
            <w:pStyle w:val="TOC2"/>
            <w:numPr>
              <w:ilvl w:val="1"/>
              <w:numId w:val="1"/>
            </w:numPr>
            <w:tabs>
              <w:tab w:pos="1000" w:val="left" w:leader="none"/>
              <w:tab w:pos="9368" w:val="left" w:leader="dot"/>
            </w:tabs>
            <w:spacing w:line="240" w:lineRule="auto" w:before="60" w:after="0"/>
            <w:ind w:left="1000" w:right="0" w:hanging="476"/>
            <w:jc w:val="left"/>
          </w:pPr>
          <w:hyperlink w:history="true" w:anchor="_TOC_250036">
            <w:r>
              <w:rPr/>
              <w:t>Non-Stormwater and Dry</w:t>
            </w:r>
            <w:r>
              <w:rPr>
                <w:spacing w:val="-10"/>
              </w:rPr>
              <w:t> </w:t>
            </w:r>
            <w:r>
              <w:rPr/>
              <w:t>Weather</w:t>
            </w:r>
            <w:r>
              <w:rPr>
                <w:spacing w:val="-4"/>
              </w:rPr>
              <w:t> </w:t>
            </w:r>
            <w:r>
              <w:rPr/>
              <w:t>Discharges.</w:t>
              <w:tab/>
              <w:t>10</w:t>
            </w:r>
          </w:hyperlink>
        </w:p>
        <w:p>
          <w:pPr>
            <w:pStyle w:val="TOC2"/>
            <w:numPr>
              <w:ilvl w:val="1"/>
              <w:numId w:val="1"/>
            </w:numPr>
            <w:tabs>
              <w:tab w:pos="1000" w:val="left" w:leader="none"/>
              <w:tab w:pos="9379" w:val="left" w:leader="dot"/>
            </w:tabs>
            <w:spacing w:line="240" w:lineRule="auto" w:before="60" w:after="0"/>
            <w:ind w:left="1000" w:right="0" w:hanging="476"/>
            <w:jc w:val="left"/>
          </w:pPr>
          <w:hyperlink w:history="true" w:anchor="_TOC_250035">
            <w:r>
              <w:rPr/>
              <w:t>Discharges</w:t>
            </w:r>
            <w:r>
              <w:rPr>
                <w:spacing w:val="-3"/>
              </w:rPr>
              <w:t> </w:t>
            </w:r>
            <w:r>
              <w:rPr/>
              <w:t>of</w:t>
            </w:r>
            <w:r>
              <w:rPr>
                <w:spacing w:val="-1"/>
              </w:rPr>
              <w:t> </w:t>
            </w:r>
            <w:r>
              <w:rPr/>
              <w:t>Trash</w:t>
              <w:tab/>
              <w:t>11</w:t>
            </w:r>
          </w:hyperlink>
        </w:p>
        <w:p>
          <w:pPr>
            <w:pStyle w:val="TOC2"/>
            <w:numPr>
              <w:ilvl w:val="1"/>
              <w:numId w:val="1"/>
            </w:numPr>
            <w:tabs>
              <w:tab w:pos="1000" w:val="left" w:leader="none"/>
            </w:tabs>
            <w:spacing w:line="240" w:lineRule="auto" w:before="60" w:after="0"/>
            <w:ind w:left="1000" w:right="0" w:hanging="476"/>
            <w:jc w:val="left"/>
          </w:pPr>
          <w:r>
            <w:rPr/>
            <w:t>Discharges Containing Substances in Concentrations Toxic to</w:t>
          </w:r>
          <w:r>
            <w:rPr>
              <w:spacing w:val="-8"/>
            </w:rPr>
            <w:t> </w:t>
          </w:r>
          <w:r>
            <w:rPr/>
            <w:t>Human,</w:t>
          </w:r>
        </w:p>
        <w:p>
          <w:pPr>
            <w:pStyle w:val="TOC4"/>
            <w:tabs>
              <w:tab w:pos="9378" w:val="left" w:leader="dot"/>
            </w:tabs>
          </w:pPr>
          <w:r>
            <w:rPr/>
            <w:t>Animal, Plant, or</w:t>
          </w:r>
          <w:r>
            <w:rPr>
              <w:spacing w:val="-11"/>
            </w:rPr>
            <w:t> </w:t>
          </w:r>
          <w:r>
            <w:rPr/>
            <w:t>Aquatic</w:t>
          </w:r>
          <w:r>
            <w:rPr>
              <w:spacing w:val="-4"/>
            </w:rPr>
            <w:t> </w:t>
          </w:r>
          <w:r>
            <w:rPr/>
            <w:t>Life</w:t>
            <w:tab/>
            <w:t>11</w:t>
          </w:r>
        </w:p>
        <w:p>
          <w:pPr>
            <w:pStyle w:val="TOC2"/>
            <w:numPr>
              <w:ilvl w:val="1"/>
              <w:numId w:val="1"/>
            </w:numPr>
            <w:tabs>
              <w:tab w:pos="1000" w:val="left" w:leader="none"/>
            </w:tabs>
            <w:spacing w:line="240" w:lineRule="auto" w:before="60" w:after="0"/>
            <w:ind w:left="1000" w:right="0" w:hanging="476"/>
            <w:jc w:val="left"/>
          </w:pPr>
          <w:r>
            <w:rPr/>
            <w:t>Discharges that Cause or Contribute to a Violation of Any</w:t>
          </w:r>
          <w:r>
            <w:rPr>
              <w:spacing w:val="-9"/>
            </w:rPr>
            <w:t> </w:t>
          </w:r>
          <w:r>
            <w:rPr/>
            <w:t>Applicable</w:t>
          </w:r>
        </w:p>
        <w:p>
          <w:pPr>
            <w:pStyle w:val="TOC4"/>
            <w:tabs>
              <w:tab w:pos="9379" w:val="left" w:leader="dot"/>
            </w:tabs>
          </w:pPr>
          <w:r>
            <w:rPr/>
            <w:t>Water</w:t>
          </w:r>
          <w:r>
            <w:rPr>
              <w:spacing w:val="-3"/>
            </w:rPr>
            <w:t> </w:t>
          </w:r>
          <w:r>
            <w:rPr/>
            <w:t>Quality</w:t>
          </w:r>
          <w:r>
            <w:rPr>
              <w:spacing w:val="-2"/>
            </w:rPr>
            <w:t> </w:t>
          </w:r>
          <w:r>
            <w:rPr/>
            <w:t>Standard</w:t>
            <w:tab/>
            <w:t>11</w:t>
          </w:r>
        </w:p>
        <w:p>
          <w:pPr>
            <w:pStyle w:val="TOC2"/>
            <w:numPr>
              <w:ilvl w:val="1"/>
              <w:numId w:val="1"/>
            </w:numPr>
            <w:tabs>
              <w:tab w:pos="1000" w:val="left" w:leader="none"/>
            </w:tabs>
            <w:spacing w:line="240" w:lineRule="auto" w:before="60" w:after="0"/>
            <w:ind w:left="1000" w:right="0" w:hanging="476"/>
            <w:jc w:val="left"/>
          </w:pPr>
          <w:r>
            <w:rPr/>
            <w:t>Pollution, Contamination, or Nuisance as Defined by Section 13050 of</w:t>
          </w:r>
          <w:r>
            <w:rPr>
              <w:spacing w:val="-12"/>
            </w:rPr>
            <w:t> </w:t>
          </w:r>
          <w:r>
            <w:rPr/>
            <w:t>the</w:t>
          </w:r>
        </w:p>
        <w:p>
          <w:pPr>
            <w:pStyle w:val="TOC4"/>
            <w:tabs>
              <w:tab w:pos="9381" w:val="left" w:leader="dot"/>
            </w:tabs>
          </w:pPr>
          <w:r>
            <w:rPr/>
            <w:t>CWC</w:t>
            <w:tab/>
            <w:t>11</w:t>
          </w:r>
        </w:p>
        <w:p>
          <w:pPr>
            <w:pStyle w:val="TOC2"/>
            <w:numPr>
              <w:ilvl w:val="1"/>
              <w:numId w:val="1"/>
            </w:numPr>
            <w:tabs>
              <w:tab w:pos="1000" w:val="left" w:leader="none"/>
              <w:tab w:pos="9373" w:val="left" w:leader="dot"/>
            </w:tabs>
            <w:spacing w:line="240" w:lineRule="auto" w:before="60" w:after="0"/>
            <w:ind w:left="1000" w:right="0" w:hanging="476"/>
            <w:jc w:val="left"/>
          </w:pPr>
          <w:hyperlink w:history="true" w:anchor="_TOC_250034">
            <w:r>
              <w:rPr/>
              <w:t>Discharge of Radiological, Chemical, or Biological</w:t>
            </w:r>
            <w:r>
              <w:rPr>
                <w:spacing w:val="-29"/>
              </w:rPr>
              <w:t> </w:t>
            </w:r>
            <w:r>
              <w:rPr/>
              <w:t>Warfare</w:t>
            </w:r>
            <w:r>
              <w:rPr>
                <w:spacing w:val="-5"/>
              </w:rPr>
              <w:t> </w:t>
            </w:r>
            <w:r>
              <w:rPr/>
              <w:t>Agent</w:t>
              <w:tab/>
              <w:t>11</w:t>
            </w:r>
          </w:hyperlink>
        </w:p>
        <w:p>
          <w:pPr>
            <w:pStyle w:val="TOC1"/>
            <w:numPr>
              <w:ilvl w:val="0"/>
              <w:numId w:val="1"/>
            </w:numPr>
            <w:tabs>
              <w:tab w:pos="819" w:val="left" w:leader="none"/>
              <w:tab w:pos="820" w:val="left" w:leader="none"/>
              <w:tab w:pos="9378" w:val="left" w:leader="dot"/>
            </w:tabs>
            <w:spacing w:line="240" w:lineRule="auto" w:before="60" w:after="0"/>
            <w:ind w:left="820" w:right="0" w:hanging="540"/>
            <w:jc w:val="left"/>
          </w:pPr>
          <w:r>
            <w:rPr/>
            <w:t>Non-Stormwater</w:t>
          </w:r>
          <w:r>
            <w:rPr>
              <w:spacing w:val="-7"/>
            </w:rPr>
            <w:t> </w:t>
          </w:r>
          <w:r>
            <w:rPr/>
            <w:t>Discharges</w:t>
            <w:tab/>
            <w:t>11</w:t>
          </w:r>
        </w:p>
        <w:p>
          <w:pPr>
            <w:pStyle w:val="TOC2"/>
            <w:numPr>
              <w:ilvl w:val="1"/>
              <w:numId w:val="1"/>
            </w:numPr>
            <w:tabs>
              <w:tab w:pos="1000" w:val="left" w:leader="none"/>
              <w:tab w:pos="9379" w:val="left" w:leader="dot"/>
            </w:tabs>
            <w:spacing w:line="240" w:lineRule="auto" w:before="60" w:after="0"/>
            <w:ind w:left="1000" w:right="0" w:hanging="476"/>
            <w:jc w:val="left"/>
          </w:pPr>
          <w:hyperlink w:history="true" w:anchor="_TOC_250033">
            <w:r>
              <w:rPr/>
              <w:t>Authorized</w:t>
            </w:r>
            <w:r>
              <w:rPr>
                <w:spacing w:val="-4"/>
              </w:rPr>
              <w:t> </w:t>
            </w:r>
            <w:r>
              <w:rPr/>
              <w:t>NSWDs</w:t>
              <w:tab/>
              <w:t>11</w:t>
            </w:r>
          </w:hyperlink>
        </w:p>
        <w:p>
          <w:pPr>
            <w:pStyle w:val="TOC2"/>
            <w:numPr>
              <w:ilvl w:val="1"/>
              <w:numId w:val="1"/>
            </w:numPr>
            <w:tabs>
              <w:tab w:pos="1000" w:val="left" w:leader="none"/>
              <w:tab w:pos="9378" w:val="left" w:leader="dot"/>
            </w:tabs>
            <w:spacing w:line="240" w:lineRule="auto" w:before="60" w:after="0"/>
            <w:ind w:left="1000" w:right="0" w:hanging="476"/>
            <w:jc w:val="left"/>
          </w:pPr>
          <w:hyperlink w:history="true" w:anchor="_TOC_250032">
            <w:r>
              <w:rPr/>
              <w:t>Authorized</w:t>
            </w:r>
            <w:r>
              <w:rPr>
                <w:spacing w:val="-4"/>
              </w:rPr>
              <w:t> </w:t>
            </w:r>
            <w:r>
              <w:rPr/>
              <w:t>NSWD</w:t>
            </w:r>
            <w:r>
              <w:rPr>
                <w:spacing w:val="-6"/>
              </w:rPr>
              <w:t> </w:t>
            </w:r>
            <w:r>
              <w:rPr/>
              <w:t>Requirements</w:t>
              <w:tab/>
              <w:t>12</w:t>
            </w:r>
          </w:hyperlink>
        </w:p>
        <w:p>
          <w:pPr>
            <w:pStyle w:val="TOC2"/>
            <w:numPr>
              <w:ilvl w:val="1"/>
              <w:numId w:val="1"/>
            </w:numPr>
            <w:tabs>
              <w:tab w:pos="1000" w:val="left" w:leader="none"/>
              <w:tab w:pos="9376" w:val="left" w:leader="dot"/>
            </w:tabs>
            <w:spacing w:line="240" w:lineRule="auto" w:before="60" w:after="0"/>
            <w:ind w:left="1000" w:right="0" w:hanging="476"/>
            <w:jc w:val="left"/>
          </w:pPr>
          <w:hyperlink w:history="true" w:anchor="_TOC_250031">
            <w:r>
              <w:rPr/>
              <w:t>Emergency</w:t>
            </w:r>
            <w:r>
              <w:rPr>
                <w:spacing w:val="-2"/>
              </w:rPr>
              <w:t> </w:t>
            </w:r>
            <w:r>
              <w:rPr/>
              <w:t>Firefighting-related</w:t>
            </w:r>
            <w:r>
              <w:rPr>
                <w:spacing w:val="-2"/>
              </w:rPr>
              <w:t> </w:t>
            </w:r>
            <w:r>
              <w:rPr/>
              <w:t>Discharges</w:t>
              <w:tab/>
              <w:t>13</w:t>
            </w:r>
          </w:hyperlink>
        </w:p>
        <w:p>
          <w:pPr>
            <w:pStyle w:val="TOC1"/>
            <w:numPr>
              <w:ilvl w:val="0"/>
              <w:numId w:val="1"/>
            </w:numPr>
            <w:tabs>
              <w:tab w:pos="819" w:val="left" w:leader="none"/>
              <w:tab w:pos="820" w:val="left" w:leader="none"/>
              <w:tab w:pos="9377" w:val="left" w:leader="dot"/>
            </w:tabs>
            <w:spacing w:line="240" w:lineRule="auto" w:before="60" w:after="20"/>
            <w:ind w:left="820" w:right="0" w:hanging="540"/>
            <w:jc w:val="left"/>
          </w:pPr>
          <w:r>
            <w:rPr/>
            <w:t>Requirements for Pollution</w:t>
          </w:r>
          <w:r>
            <w:rPr>
              <w:spacing w:val="-15"/>
            </w:rPr>
            <w:t> </w:t>
          </w:r>
          <w:r>
            <w:rPr/>
            <w:t>Prevention</w:t>
          </w:r>
          <w:r>
            <w:rPr>
              <w:spacing w:val="-4"/>
            </w:rPr>
            <w:t> </w:t>
          </w:r>
          <w:r>
            <w:rPr/>
            <w:t>Plans</w:t>
            <w:tab/>
            <w:t>13</w:t>
          </w:r>
        </w:p>
        <w:p>
          <w:pPr>
            <w:pStyle w:val="TOC2"/>
            <w:numPr>
              <w:ilvl w:val="1"/>
              <w:numId w:val="1"/>
            </w:numPr>
            <w:tabs>
              <w:tab w:pos="1000" w:val="left" w:leader="none"/>
              <w:tab w:pos="9377" w:val="left" w:leader="dot"/>
            </w:tabs>
            <w:spacing w:line="240" w:lineRule="auto" w:before="276" w:after="0"/>
            <w:ind w:left="1000" w:right="0" w:hanging="476"/>
            <w:jc w:val="left"/>
          </w:pPr>
          <w:hyperlink w:history="true" w:anchor="_TOC_250030">
            <w:r>
              <w:rPr/>
              <w:t>Facility Name and</w:t>
            </w:r>
            <w:r>
              <w:rPr>
                <w:spacing w:val="-9"/>
              </w:rPr>
              <w:t> </w:t>
            </w:r>
            <w:r>
              <w:rPr/>
              <w:t>Contact</w:t>
            </w:r>
            <w:r>
              <w:rPr>
                <w:spacing w:val="-3"/>
              </w:rPr>
              <w:t> </w:t>
            </w:r>
            <w:r>
              <w:rPr/>
              <w:t>Information</w:t>
              <w:tab/>
              <w:t>13</w:t>
            </w:r>
          </w:hyperlink>
        </w:p>
        <w:p>
          <w:pPr>
            <w:pStyle w:val="TOC2"/>
            <w:numPr>
              <w:ilvl w:val="1"/>
              <w:numId w:val="1"/>
            </w:numPr>
            <w:tabs>
              <w:tab w:pos="1000" w:val="left" w:leader="none"/>
              <w:tab w:pos="9378" w:val="left" w:leader="dot"/>
            </w:tabs>
            <w:spacing w:line="240" w:lineRule="auto" w:before="60" w:after="0"/>
            <w:ind w:left="1000" w:right="0" w:hanging="476"/>
            <w:jc w:val="left"/>
          </w:pPr>
          <w:hyperlink w:history="true" w:anchor="_TOC_250029">
            <w:r>
              <w:rPr/>
              <w:t>Stormwater Pollution</w:t>
            </w:r>
            <w:r>
              <w:rPr>
                <w:spacing w:val="-13"/>
              </w:rPr>
              <w:t> </w:t>
            </w:r>
            <w:r>
              <w:rPr/>
              <w:t>Prevention</w:t>
            </w:r>
            <w:r>
              <w:rPr>
                <w:spacing w:val="-5"/>
              </w:rPr>
              <w:t> </w:t>
            </w:r>
            <w:r>
              <w:rPr/>
              <w:t>Team</w:t>
              <w:tab/>
              <w:t>13</w:t>
            </w:r>
          </w:hyperlink>
        </w:p>
        <w:p>
          <w:pPr>
            <w:pStyle w:val="TOC2"/>
            <w:numPr>
              <w:ilvl w:val="1"/>
              <w:numId w:val="1"/>
            </w:numPr>
            <w:tabs>
              <w:tab w:pos="1000" w:val="left" w:leader="none"/>
              <w:tab w:pos="9382" w:val="left" w:leader="dot"/>
            </w:tabs>
            <w:spacing w:line="240" w:lineRule="auto" w:before="60" w:after="0"/>
            <w:ind w:left="1000" w:right="0" w:hanging="476"/>
            <w:jc w:val="left"/>
          </w:pPr>
          <w:hyperlink w:history="true" w:anchor="_TOC_250028">
            <w:r>
              <w:rPr/>
              <w:t>Site</w:t>
            </w:r>
            <w:r>
              <w:rPr>
                <w:spacing w:val="-1"/>
              </w:rPr>
              <w:t> </w:t>
            </w:r>
            <w:r>
              <w:rPr/>
              <w:t>Map</w:t>
              <w:tab/>
              <w:t>13</w:t>
            </w:r>
          </w:hyperlink>
        </w:p>
        <w:p>
          <w:pPr>
            <w:pStyle w:val="TOC2"/>
            <w:numPr>
              <w:ilvl w:val="1"/>
              <w:numId w:val="1"/>
            </w:numPr>
            <w:tabs>
              <w:tab w:pos="1000" w:val="left" w:leader="none"/>
              <w:tab w:pos="9377" w:val="left" w:leader="dot"/>
            </w:tabs>
            <w:spacing w:line="240" w:lineRule="auto" w:before="60" w:after="0"/>
            <w:ind w:left="1000" w:right="0" w:hanging="476"/>
            <w:jc w:val="left"/>
          </w:pPr>
          <w:hyperlink w:history="true" w:anchor="_TOC_250027">
            <w:r>
              <w:rPr/>
              <w:t>Description of Potential</w:t>
            </w:r>
            <w:r>
              <w:rPr>
                <w:spacing w:val="-13"/>
              </w:rPr>
              <w:t> </w:t>
            </w:r>
            <w:r>
              <w:rPr/>
              <w:t>Pollution</w:t>
            </w:r>
            <w:r>
              <w:rPr>
                <w:spacing w:val="-4"/>
              </w:rPr>
              <w:t> </w:t>
            </w:r>
            <w:r>
              <w:rPr/>
              <w:t>Sources</w:t>
              <w:tab/>
              <w:t>14</w:t>
            </w:r>
          </w:hyperlink>
        </w:p>
        <w:p>
          <w:pPr>
            <w:pStyle w:val="TOC2"/>
            <w:numPr>
              <w:ilvl w:val="1"/>
              <w:numId w:val="1"/>
            </w:numPr>
            <w:tabs>
              <w:tab w:pos="1000" w:val="left" w:leader="none"/>
              <w:tab w:pos="9377" w:val="left" w:leader="dot"/>
            </w:tabs>
            <w:spacing w:line="240" w:lineRule="auto" w:before="60" w:after="0"/>
            <w:ind w:left="1000" w:right="0" w:hanging="476"/>
            <w:jc w:val="left"/>
          </w:pPr>
          <w:r>
            <w:rPr/>
            <w:t>Minimum Best Management</w:t>
          </w:r>
          <w:r>
            <w:rPr>
              <w:spacing w:val="-2"/>
            </w:rPr>
            <w:t> </w:t>
          </w:r>
          <w:r>
            <w:rPr/>
            <w:t>Practices (BMPs)</w:t>
            <w:tab/>
            <w:t>15</w:t>
          </w:r>
        </w:p>
        <w:p>
          <w:pPr>
            <w:pStyle w:val="TOC4"/>
            <w:tabs>
              <w:tab w:pos="2040" w:val="left" w:leader="none"/>
              <w:tab w:pos="9368" w:val="left" w:leader="dot"/>
            </w:tabs>
            <w:spacing w:before="60"/>
          </w:pPr>
          <w:r>
            <w:rPr/>
            <w:t>6.1.5.1.</w:t>
            <w:tab/>
            <w:t>Good</w:t>
          </w:r>
          <w:r>
            <w:rPr>
              <w:spacing w:val="-3"/>
            </w:rPr>
            <w:t> </w:t>
          </w:r>
          <w:r>
            <w:rPr/>
            <w:t>Housekeeping</w:t>
            <w:tab/>
            <w:t>15</w:t>
          </w:r>
        </w:p>
        <w:p>
          <w:pPr>
            <w:pStyle w:val="TOC3"/>
            <w:numPr>
              <w:ilvl w:val="2"/>
              <w:numId w:val="2"/>
            </w:numPr>
            <w:tabs>
              <w:tab w:pos="1599" w:val="left" w:leader="none"/>
              <w:tab w:pos="1600" w:val="left" w:leader="none"/>
              <w:tab w:pos="9369" w:val="left" w:leader="dot"/>
            </w:tabs>
            <w:spacing w:line="240" w:lineRule="auto" w:before="99" w:after="0"/>
            <w:ind w:left="1600" w:right="0" w:hanging="845"/>
            <w:jc w:val="left"/>
          </w:pPr>
          <w:r>
            <w:rPr/>
            <w:t>Exposure</w:t>
          </w:r>
          <w:r>
            <w:rPr>
              <w:spacing w:val="-7"/>
            </w:rPr>
            <w:t> </w:t>
          </w:r>
          <w:r>
            <w:rPr/>
            <w:t>Minimization</w:t>
            <w:tab/>
            <w:t>16</w:t>
          </w:r>
        </w:p>
        <w:p>
          <w:pPr>
            <w:pStyle w:val="TOC3"/>
            <w:numPr>
              <w:ilvl w:val="2"/>
              <w:numId w:val="2"/>
            </w:numPr>
            <w:tabs>
              <w:tab w:pos="1599" w:val="left" w:leader="none"/>
              <w:tab w:pos="1600" w:val="left" w:leader="none"/>
              <w:tab w:pos="9368" w:val="left" w:leader="dot"/>
            </w:tabs>
            <w:spacing w:line="240" w:lineRule="auto" w:before="0" w:after="0"/>
            <w:ind w:left="1600" w:right="0" w:hanging="845"/>
            <w:jc w:val="left"/>
          </w:pPr>
          <w:r>
            <w:rPr/>
            <w:t>Employee</w:t>
          </w:r>
          <w:r>
            <w:rPr>
              <w:spacing w:val="-5"/>
            </w:rPr>
            <w:t> </w:t>
          </w:r>
          <w:r>
            <w:rPr/>
            <w:t>Training</w:t>
          </w:r>
          <w:r>
            <w:rPr>
              <w:spacing w:val="-6"/>
            </w:rPr>
            <w:t> </w:t>
          </w:r>
          <w:r>
            <w:rPr/>
            <w:t>Program</w:t>
            <w:tab/>
            <w:t>16</w:t>
          </w:r>
        </w:p>
        <w:p>
          <w:pPr>
            <w:pStyle w:val="TOC2"/>
            <w:numPr>
              <w:ilvl w:val="1"/>
              <w:numId w:val="1"/>
            </w:numPr>
            <w:tabs>
              <w:tab w:pos="1000" w:val="left" w:leader="none"/>
              <w:tab w:pos="9379" w:val="left" w:leader="dot"/>
            </w:tabs>
            <w:spacing w:line="240" w:lineRule="auto" w:before="1" w:after="0"/>
            <w:ind w:left="1000" w:right="0" w:hanging="476"/>
            <w:jc w:val="left"/>
          </w:pPr>
          <w:hyperlink w:history="true" w:anchor="_TOC_250026">
            <w:r>
              <w:rPr/>
              <w:t>BMP</w:t>
            </w:r>
            <w:r>
              <w:rPr>
                <w:spacing w:val="-2"/>
              </w:rPr>
              <w:t> </w:t>
            </w:r>
            <w:r>
              <w:rPr/>
              <w:t>Summary</w:t>
            </w:r>
            <w:r>
              <w:rPr>
                <w:spacing w:val="-1"/>
              </w:rPr>
              <w:t> </w:t>
            </w:r>
            <w:r>
              <w:rPr/>
              <w:t>Table</w:t>
              <w:tab/>
              <w:t>16</w:t>
            </w:r>
          </w:hyperlink>
        </w:p>
        <w:p>
          <w:pPr>
            <w:pStyle w:val="TOC4"/>
            <w:tabs>
              <w:tab w:pos="2040" w:val="left" w:leader="none"/>
              <w:tab w:pos="9369" w:val="left" w:leader="dot"/>
            </w:tabs>
            <w:spacing w:before="60"/>
          </w:pPr>
          <w:r>
            <w:rPr/>
            <w:t>6.1.5.5.</w:t>
            <w:tab/>
            <w:t>Non-structural</w:t>
          </w:r>
          <w:r>
            <w:rPr>
              <w:spacing w:val="-5"/>
            </w:rPr>
            <w:t> </w:t>
          </w:r>
          <w:r>
            <w:rPr/>
            <w:t>BMPs</w:t>
            <w:tab/>
            <w:t>17</w:t>
          </w:r>
        </w:p>
        <w:p>
          <w:pPr>
            <w:pStyle w:val="TOC1"/>
            <w:numPr>
              <w:ilvl w:val="0"/>
              <w:numId w:val="1"/>
            </w:numPr>
            <w:tabs>
              <w:tab w:pos="819" w:val="left" w:leader="none"/>
              <w:tab w:pos="820" w:val="left" w:leader="none"/>
              <w:tab w:pos="9381" w:val="left" w:leader="dot"/>
            </w:tabs>
            <w:spacing w:line="240" w:lineRule="auto" w:before="99" w:after="0"/>
            <w:ind w:left="820" w:right="0" w:hanging="540"/>
            <w:jc w:val="left"/>
          </w:pPr>
          <w:hyperlink w:history="true" w:anchor="_TOC_250025">
            <w:r>
              <w:rPr/>
              <w:t>Effluent</w:t>
            </w:r>
            <w:r>
              <w:rPr>
                <w:spacing w:val="-2"/>
              </w:rPr>
              <w:t> </w:t>
            </w:r>
            <w:r>
              <w:rPr/>
              <w:t>Limitations</w:t>
              <w:tab/>
              <w:t>17</w:t>
            </w:r>
          </w:hyperlink>
        </w:p>
        <w:p>
          <w:pPr>
            <w:pStyle w:val="TOC2"/>
            <w:numPr>
              <w:ilvl w:val="1"/>
              <w:numId w:val="1"/>
            </w:numPr>
            <w:tabs>
              <w:tab w:pos="1000" w:val="left" w:leader="none"/>
              <w:tab w:pos="9377" w:val="left" w:leader="dot"/>
            </w:tabs>
            <w:spacing w:line="240" w:lineRule="auto" w:before="60" w:after="0"/>
            <w:ind w:left="1000" w:right="0" w:hanging="476"/>
            <w:jc w:val="left"/>
          </w:pPr>
          <w:hyperlink w:history="true" w:anchor="_TOC_250024">
            <w:r>
              <w:rPr/>
              <w:t>Technology Based</w:t>
            </w:r>
            <w:r>
              <w:rPr>
                <w:spacing w:val="-7"/>
              </w:rPr>
              <w:t> </w:t>
            </w:r>
            <w:r>
              <w:rPr/>
              <w:t>Effluent</w:t>
            </w:r>
            <w:r>
              <w:rPr>
                <w:spacing w:val="-4"/>
              </w:rPr>
              <w:t> </w:t>
            </w:r>
            <w:r>
              <w:rPr/>
              <w:t>Limitations</w:t>
              <w:tab/>
              <w:t>17</w:t>
            </w:r>
          </w:hyperlink>
        </w:p>
        <w:p>
          <w:pPr>
            <w:pStyle w:val="TOC2"/>
            <w:numPr>
              <w:ilvl w:val="1"/>
              <w:numId w:val="1"/>
            </w:numPr>
            <w:tabs>
              <w:tab w:pos="1000" w:val="left" w:leader="none"/>
              <w:tab w:pos="9378" w:val="left" w:leader="dot"/>
            </w:tabs>
            <w:spacing w:line="240" w:lineRule="auto" w:before="60" w:after="0"/>
            <w:ind w:left="1000" w:right="0" w:hanging="476"/>
            <w:jc w:val="left"/>
          </w:pPr>
          <w:hyperlink w:history="true" w:anchor="_TOC_250023">
            <w:r>
              <w:rPr/>
              <w:t>Water Quality Based</w:t>
            </w:r>
            <w:r>
              <w:rPr>
                <w:spacing w:val="-4"/>
              </w:rPr>
              <w:t> </w:t>
            </w:r>
            <w:r>
              <w:rPr/>
              <w:t>Effluent</w:t>
            </w:r>
            <w:r>
              <w:rPr>
                <w:spacing w:val="-1"/>
              </w:rPr>
              <w:t> </w:t>
            </w:r>
            <w:r>
              <w:rPr/>
              <w:t>Limitations</w:t>
              <w:tab/>
              <w:t>17</w:t>
            </w:r>
          </w:hyperlink>
        </w:p>
        <w:p>
          <w:pPr>
            <w:pStyle w:val="TOC1"/>
            <w:numPr>
              <w:ilvl w:val="0"/>
              <w:numId w:val="1"/>
            </w:numPr>
            <w:tabs>
              <w:tab w:pos="819" w:val="left" w:leader="none"/>
              <w:tab w:pos="820" w:val="left" w:leader="none"/>
              <w:tab w:pos="9373" w:val="left" w:leader="dot"/>
            </w:tabs>
            <w:spacing w:line="240" w:lineRule="auto" w:before="60" w:after="0"/>
            <w:ind w:left="820" w:right="0" w:hanging="540"/>
            <w:jc w:val="left"/>
          </w:pPr>
          <w:hyperlink w:history="true" w:anchor="_TOC_250022">
            <w:r>
              <w:rPr/>
              <w:t>Compliance Options for Water Quality Based</w:t>
            </w:r>
            <w:r>
              <w:rPr>
                <w:spacing w:val="-18"/>
              </w:rPr>
              <w:t> </w:t>
            </w:r>
            <w:r>
              <w:rPr/>
              <w:t>Effluent</w:t>
            </w:r>
            <w:r>
              <w:rPr>
                <w:spacing w:val="-3"/>
              </w:rPr>
              <w:t> </w:t>
            </w:r>
            <w:r>
              <w:rPr/>
              <w:t>Limitations</w:t>
              <w:tab/>
              <w:t>23</w:t>
            </w:r>
          </w:hyperlink>
        </w:p>
        <w:p>
          <w:pPr>
            <w:pStyle w:val="TOC2"/>
            <w:numPr>
              <w:ilvl w:val="1"/>
              <w:numId w:val="1"/>
            </w:numPr>
            <w:tabs>
              <w:tab w:pos="1000" w:val="left" w:leader="none"/>
            </w:tabs>
            <w:spacing w:line="240" w:lineRule="auto" w:before="60" w:after="0"/>
            <w:ind w:left="1000" w:right="0" w:hanging="476"/>
            <w:jc w:val="left"/>
          </w:pPr>
          <w:r>
            <w:rPr/>
            <w:t>Compliance Option 1 – Agreement with Local Watershed</w:t>
          </w:r>
          <w:r>
            <w:rPr>
              <w:spacing w:val="-8"/>
            </w:rPr>
            <w:t> </w:t>
          </w:r>
          <w:r>
            <w:rPr/>
            <w:t>Management</w:t>
          </w:r>
        </w:p>
        <w:p>
          <w:pPr>
            <w:pStyle w:val="TOC4"/>
            <w:tabs>
              <w:tab w:pos="9377" w:val="left" w:leader="dot"/>
            </w:tabs>
          </w:pPr>
          <w:r>
            <w:rPr/>
            <w:t>Group to Fund</w:t>
          </w:r>
          <w:r>
            <w:rPr>
              <w:spacing w:val="-7"/>
            </w:rPr>
            <w:t> </w:t>
          </w:r>
          <w:r>
            <w:rPr/>
            <w:t>Regional</w:t>
          </w:r>
          <w:r>
            <w:rPr>
              <w:spacing w:val="-3"/>
            </w:rPr>
            <w:t> </w:t>
          </w:r>
          <w:r>
            <w:rPr/>
            <w:t>Project</w:t>
            <w:tab/>
            <w:t>23</w:t>
          </w:r>
        </w:p>
        <w:p>
          <w:pPr>
            <w:pStyle w:val="TOC2"/>
            <w:numPr>
              <w:ilvl w:val="1"/>
              <w:numId w:val="1"/>
            </w:numPr>
            <w:tabs>
              <w:tab w:pos="1000" w:val="left" w:leader="none"/>
            </w:tabs>
            <w:spacing w:line="240" w:lineRule="auto" w:before="60" w:after="0"/>
            <w:ind w:left="1000" w:right="0" w:hanging="476"/>
            <w:jc w:val="left"/>
          </w:pPr>
          <w:r>
            <w:rPr/>
            <w:t>Compliance Option 2 – Facility-Specific Design Standard to</w:t>
          </w:r>
          <w:r>
            <w:rPr>
              <w:spacing w:val="-8"/>
            </w:rPr>
            <w:t> </w:t>
          </w:r>
          <w:r>
            <w:rPr/>
            <w:t>Reduce</w:t>
          </w:r>
        </w:p>
        <w:p>
          <w:pPr>
            <w:pStyle w:val="TOC4"/>
            <w:tabs>
              <w:tab w:pos="9379" w:val="left" w:leader="dot"/>
            </w:tabs>
          </w:pPr>
          <w:r>
            <w:rPr/>
            <w:t>Stormwater</w:t>
          </w:r>
          <w:r>
            <w:rPr>
              <w:spacing w:val="-2"/>
            </w:rPr>
            <w:t> </w:t>
          </w:r>
          <w:r>
            <w:rPr/>
            <w:t>Runoff</w:t>
            <w:tab/>
            <w:t>24</w:t>
          </w:r>
        </w:p>
        <w:p>
          <w:pPr>
            <w:pStyle w:val="TOC2"/>
            <w:numPr>
              <w:ilvl w:val="1"/>
              <w:numId w:val="1"/>
            </w:numPr>
            <w:tabs>
              <w:tab w:pos="1000" w:val="left" w:leader="none"/>
            </w:tabs>
            <w:spacing w:line="240" w:lineRule="auto" w:before="60" w:after="0"/>
            <w:ind w:left="1000" w:right="0" w:hanging="476"/>
            <w:jc w:val="left"/>
          </w:pPr>
          <w:r>
            <w:rPr/>
            <w:t>Compliance Option 3 – Direct Demonstration of Compliance with</w:t>
          </w:r>
          <w:r>
            <w:rPr>
              <w:spacing w:val="-8"/>
            </w:rPr>
            <w:t> </w:t>
          </w:r>
          <w:r>
            <w:rPr/>
            <w:t>Water</w:t>
          </w:r>
        </w:p>
        <w:p>
          <w:pPr>
            <w:pStyle w:val="TOC4"/>
            <w:tabs>
              <w:tab w:pos="9378" w:val="left" w:leader="dot"/>
            </w:tabs>
          </w:pPr>
          <w:r>
            <w:rPr/>
            <w:t>Quality Based</w:t>
          </w:r>
          <w:r>
            <w:rPr>
              <w:spacing w:val="-6"/>
            </w:rPr>
            <w:t> </w:t>
          </w:r>
          <w:r>
            <w:rPr/>
            <w:t>Effluent</w:t>
          </w:r>
          <w:r>
            <w:rPr>
              <w:spacing w:val="-2"/>
            </w:rPr>
            <w:t> </w:t>
          </w:r>
          <w:r>
            <w:rPr/>
            <w:t>Limitations</w:t>
            <w:tab/>
            <w:t>25</w:t>
          </w:r>
        </w:p>
        <w:p>
          <w:pPr>
            <w:pStyle w:val="TOC1"/>
            <w:numPr>
              <w:ilvl w:val="0"/>
              <w:numId w:val="1"/>
            </w:numPr>
            <w:tabs>
              <w:tab w:pos="819" w:val="left" w:leader="none"/>
              <w:tab w:pos="820" w:val="left" w:leader="none"/>
              <w:tab w:pos="9376" w:val="left" w:leader="dot"/>
            </w:tabs>
            <w:spacing w:line="240" w:lineRule="auto" w:before="60" w:after="0"/>
            <w:ind w:left="820" w:right="0" w:hanging="540"/>
            <w:jc w:val="left"/>
          </w:pPr>
          <w:hyperlink w:history="true" w:anchor="_TOC_250021">
            <w:r>
              <w:rPr/>
              <w:t>Monitoring and</w:t>
            </w:r>
            <w:r>
              <w:rPr>
                <w:spacing w:val="-6"/>
              </w:rPr>
              <w:t> </w:t>
            </w:r>
            <w:r>
              <w:rPr/>
              <w:t>Reporting</w:t>
            </w:r>
            <w:r>
              <w:rPr>
                <w:spacing w:val="-3"/>
              </w:rPr>
              <w:t> </w:t>
            </w:r>
            <w:r>
              <w:rPr/>
              <w:t>Requirements</w:t>
              <w:tab/>
              <w:t>25</w:t>
            </w:r>
          </w:hyperlink>
        </w:p>
        <w:p>
          <w:pPr>
            <w:pStyle w:val="TOC2"/>
            <w:numPr>
              <w:ilvl w:val="1"/>
              <w:numId w:val="1"/>
            </w:numPr>
            <w:tabs>
              <w:tab w:pos="1000" w:val="left" w:leader="none"/>
            </w:tabs>
            <w:spacing w:line="240" w:lineRule="auto" w:before="60" w:after="0"/>
            <w:ind w:left="1000" w:right="0" w:hanging="476"/>
            <w:jc w:val="left"/>
          </w:pPr>
          <w:r>
            <w:rPr/>
            <w:t>Compliance Option 1 – Agreement with Local Watershed</w:t>
          </w:r>
          <w:r>
            <w:rPr>
              <w:spacing w:val="-8"/>
            </w:rPr>
            <w:t> </w:t>
          </w:r>
          <w:r>
            <w:rPr/>
            <w:t>Management</w:t>
          </w:r>
        </w:p>
        <w:p>
          <w:pPr>
            <w:pStyle w:val="TOC4"/>
            <w:tabs>
              <w:tab w:pos="9377" w:val="left" w:leader="dot"/>
            </w:tabs>
          </w:pPr>
          <w:r>
            <w:rPr/>
            <w:t>Group to Fund</w:t>
          </w:r>
          <w:r>
            <w:rPr>
              <w:spacing w:val="-7"/>
            </w:rPr>
            <w:t> </w:t>
          </w:r>
          <w:r>
            <w:rPr/>
            <w:t>Regional</w:t>
          </w:r>
          <w:r>
            <w:rPr>
              <w:spacing w:val="-3"/>
            </w:rPr>
            <w:t> </w:t>
          </w:r>
          <w:r>
            <w:rPr/>
            <w:t>Project</w:t>
            <w:tab/>
            <w:t>25</w:t>
          </w:r>
        </w:p>
        <w:p>
          <w:pPr>
            <w:pStyle w:val="TOC2"/>
            <w:numPr>
              <w:ilvl w:val="1"/>
              <w:numId w:val="1"/>
            </w:numPr>
            <w:tabs>
              <w:tab w:pos="1000" w:val="left" w:leader="none"/>
            </w:tabs>
            <w:spacing w:line="240" w:lineRule="auto" w:before="60" w:after="0"/>
            <w:ind w:left="1000" w:right="0" w:hanging="476"/>
            <w:jc w:val="left"/>
          </w:pPr>
          <w:r>
            <w:rPr/>
            <w:t>Compliance Option 2 – Facility-Specific Design Standard to</w:t>
          </w:r>
          <w:r>
            <w:rPr>
              <w:spacing w:val="-8"/>
            </w:rPr>
            <w:t> </w:t>
          </w:r>
          <w:r>
            <w:rPr/>
            <w:t>Reduce</w:t>
          </w:r>
        </w:p>
        <w:p>
          <w:pPr>
            <w:pStyle w:val="TOC4"/>
            <w:tabs>
              <w:tab w:pos="9379" w:val="left" w:leader="dot"/>
            </w:tabs>
          </w:pPr>
          <w:r>
            <w:rPr/>
            <w:t>Stormwater</w:t>
          </w:r>
          <w:r>
            <w:rPr>
              <w:spacing w:val="-2"/>
            </w:rPr>
            <w:t> </w:t>
          </w:r>
          <w:r>
            <w:rPr/>
            <w:t>Runoff</w:t>
            <w:tab/>
            <w:t>26</w:t>
          </w:r>
        </w:p>
        <w:p>
          <w:pPr>
            <w:pStyle w:val="TOC2"/>
            <w:numPr>
              <w:ilvl w:val="1"/>
              <w:numId w:val="1"/>
            </w:numPr>
            <w:tabs>
              <w:tab w:pos="1000" w:val="left" w:leader="none"/>
              <w:tab w:pos="9381" w:val="left" w:leader="dot"/>
            </w:tabs>
            <w:spacing w:line="240" w:lineRule="auto" w:before="61" w:after="0"/>
            <w:ind w:left="1000" w:right="1008" w:hanging="476"/>
            <w:jc w:val="left"/>
          </w:pPr>
          <w:hyperlink w:history="true" w:anchor="_TOC_250020">
            <w:r>
              <w:rPr/>
              <w:t>Compliance Option 3 – Direct Demonstration of Compliance with Effluent Limitations</w:t>
              <w:tab/>
            </w:r>
            <w:r>
              <w:rPr>
                <w:spacing w:val="-8"/>
              </w:rPr>
              <w:t>27</w:t>
            </w:r>
          </w:hyperlink>
        </w:p>
        <w:p>
          <w:pPr>
            <w:pStyle w:val="TOC3"/>
            <w:numPr>
              <w:ilvl w:val="2"/>
              <w:numId w:val="1"/>
            </w:numPr>
            <w:tabs>
              <w:tab w:pos="1599" w:val="left" w:leader="none"/>
              <w:tab w:pos="1600" w:val="left" w:leader="none"/>
              <w:tab w:pos="9366" w:val="left" w:leader="dot"/>
            </w:tabs>
            <w:spacing w:line="240" w:lineRule="auto" w:before="60" w:after="0"/>
            <w:ind w:left="1600" w:right="0" w:hanging="845"/>
            <w:jc w:val="left"/>
          </w:pPr>
          <w:hyperlink w:history="true" w:anchor="_TOC_250019">
            <w:r>
              <w:rPr/>
              <w:t>Site-Specific Monitoring and</w:t>
            </w:r>
            <w:r>
              <w:rPr>
                <w:spacing w:val="-17"/>
              </w:rPr>
              <w:t> </w:t>
            </w:r>
            <w:r>
              <w:rPr/>
              <w:t>Reporting</w:t>
            </w:r>
            <w:r>
              <w:rPr>
                <w:spacing w:val="-4"/>
              </w:rPr>
              <w:t> </w:t>
            </w:r>
            <w:r>
              <w:rPr/>
              <w:t>Plan</w:t>
              <w:tab/>
              <w:t>27</w:t>
            </w:r>
          </w:hyperlink>
        </w:p>
        <w:p>
          <w:pPr>
            <w:pStyle w:val="TOC3"/>
            <w:numPr>
              <w:ilvl w:val="2"/>
              <w:numId w:val="1"/>
            </w:numPr>
            <w:tabs>
              <w:tab w:pos="1599" w:val="left" w:leader="none"/>
              <w:tab w:pos="1600" w:val="left" w:leader="none"/>
              <w:tab w:pos="9369" w:val="left" w:leader="dot"/>
            </w:tabs>
            <w:spacing w:line="240" w:lineRule="auto" w:before="0" w:after="0"/>
            <w:ind w:left="1600" w:right="0" w:hanging="845"/>
            <w:jc w:val="left"/>
          </w:pPr>
          <w:hyperlink w:history="true" w:anchor="_TOC_250018">
            <w:r>
              <w:rPr/>
              <w:t>Sampling</w:t>
            </w:r>
            <w:r>
              <w:rPr>
                <w:spacing w:val="-3"/>
              </w:rPr>
              <w:t> </w:t>
            </w:r>
            <w:r>
              <w:rPr/>
              <w:t>and</w:t>
            </w:r>
            <w:r>
              <w:rPr>
                <w:spacing w:val="-2"/>
              </w:rPr>
              <w:t> </w:t>
            </w:r>
            <w:r>
              <w:rPr/>
              <w:t>Analysis</w:t>
              <w:tab/>
              <w:t>27</w:t>
            </w:r>
          </w:hyperlink>
        </w:p>
        <w:p>
          <w:pPr>
            <w:pStyle w:val="TOC3"/>
            <w:numPr>
              <w:ilvl w:val="2"/>
              <w:numId w:val="1"/>
            </w:numPr>
            <w:tabs>
              <w:tab w:pos="1599" w:val="left" w:leader="none"/>
              <w:tab w:pos="1600" w:val="left" w:leader="none"/>
              <w:tab w:pos="9367" w:val="left" w:leader="dot"/>
            </w:tabs>
            <w:spacing w:line="240" w:lineRule="auto" w:before="0" w:after="0"/>
            <w:ind w:left="1600" w:right="0" w:hanging="845"/>
            <w:jc w:val="left"/>
          </w:pPr>
          <w:hyperlink w:history="true" w:anchor="_TOC_250017">
            <w:r>
              <w:rPr/>
              <w:t>Sampling Event</w:t>
            </w:r>
            <w:r>
              <w:rPr>
                <w:spacing w:val="-7"/>
              </w:rPr>
              <w:t> </w:t>
            </w:r>
            <w:r>
              <w:rPr/>
              <w:t>Visual</w:t>
            </w:r>
            <w:r>
              <w:rPr>
                <w:spacing w:val="-2"/>
              </w:rPr>
              <w:t> </w:t>
            </w:r>
            <w:r>
              <w:rPr/>
              <w:t>Observations</w:t>
              <w:tab/>
              <w:t>29</w:t>
            </w:r>
          </w:hyperlink>
        </w:p>
        <w:p>
          <w:pPr>
            <w:pStyle w:val="TOC3"/>
            <w:numPr>
              <w:ilvl w:val="2"/>
              <w:numId w:val="1"/>
            </w:numPr>
            <w:tabs>
              <w:tab w:pos="1599" w:val="left" w:leader="none"/>
              <w:tab w:pos="1600" w:val="left" w:leader="none"/>
              <w:tab w:pos="9370" w:val="left" w:leader="dot"/>
            </w:tabs>
            <w:spacing w:line="240" w:lineRule="auto" w:before="0" w:after="0"/>
            <w:ind w:left="1600" w:right="0" w:hanging="845"/>
            <w:jc w:val="left"/>
          </w:pPr>
          <w:hyperlink w:history="true" w:anchor="_TOC_250016">
            <w:r>
              <w:rPr/>
              <w:t>Reporting</w:t>
              <w:tab/>
              <w:t>29</w:t>
            </w:r>
          </w:hyperlink>
        </w:p>
        <w:p>
          <w:pPr>
            <w:pStyle w:val="TOC1"/>
            <w:numPr>
              <w:ilvl w:val="0"/>
              <w:numId w:val="1"/>
            </w:numPr>
            <w:tabs>
              <w:tab w:pos="819" w:val="left" w:leader="none"/>
              <w:tab w:pos="820" w:val="left" w:leader="none"/>
              <w:tab w:pos="9380" w:val="left" w:leader="dot"/>
            </w:tabs>
            <w:spacing w:line="240" w:lineRule="auto" w:before="0" w:after="0"/>
            <w:ind w:left="820" w:right="0" w:hanging="540"/>
            <w:jc w:val="left"/>
          </w:pPr>
          <w:hyperlink w:history="true" w:anchor="_TOC_250015">
            <w:r>
              <w:rPr/>
              <w:t>Provisions</w:t>
              <w:tab/>
              <w:t>30</w:t>
            </w:r>
          </w:hyperlink>
        </w:p>
        <w:p>
          <w:pPr>
            <w:pStyle w:val="TOC2"/>
            <w:numPr>
              <w:ilvl w:val="1"/>
              <w:numId w:val="1"/>
            </w:numPr>
            <w:tabs>
              <w:tab w:pos="1380" w:val="left" w:leader="none"/>
              <w:tab w:pos="1381" w:val="left" w:leader="none"/>
              <w:tab w:pos="9378" w:val="left" w:leader="dot"/>
            </w:tabs>
            <w:spacing w:line="240" w:lineRule="auto" w:before="60" w:after="0"/>
            <w:ind w:left="1380" w:right="0" w:hanging="857"/>
            <w:jc w:val="left"/>
          </w:pPr>
          <w:hyperlink w:history="true" w:anchor="_TOC_250014">
            <w:r>
              <w:rPr/>
              <w:t>Standard</w:t>
            </w:r>
            <w:r>
              <w:rPr>
                <w:spacing w:val="-4"/>
              </w:rPr>
              <w:t> </w:t>
            </w:r>
            <w:r>
              <w:rPr/>
              <w:t>Provisions</w:t>
              <w:tab/>
              <w:t>30</w:t>
            </w:r>
          </w:hyperlink>
        </w:p>
        <w:p>
          <w:pPr>
            <w:pStyle w:val="TOC2"/>
            <w:numPr>
              <w:ilvl w:val="1"/>
              <w:numId w:val="1"/>
            </w:numPr>
            <w:tabs>
              <w:tab w:pos="1380" w:val="left" w:leader="none"/>
              <w:tab w:pos="1381" w:val="left" w:leader="none"/>
              <w:tab w:pos="9381" w:val="left" w:leader="dot"/>
            </w:tabs>
            <w:spacing w:line="240" w:lineRule="auto" w:before="60" w:after="0"/>
            <w:ind w:left="1380" w:right="0" w:hanging="857"/>
            <w:jc w:val="left"/>
          </w:pPr>
          <w:hyperlink w:history="true" w:anchor="_TOC_250013">
            <w:r>
              <w:rPr/>
              <w:t>Enforcement</w:t>
              <w:tab/>
              <w:t>31</w:t>
            </w:r>
          </w:hyperlink>
        </w:p>
        <w:p>
          <w:pPr>
            <w:pStyle w:val="TOC3"/>
            <w:tabs>
              <w:tab w:pos="9369" w:val="left" w:leader="dot"/>
            </w:tabs>
            <w:spacing w:before="60"/>
            <w:ind w:left="755" w:firstLine="0"/>
          </w:pPr>
          <w:hyperlink w:history="true" w:anchor="_TOC_250012">
            <w:r>
              <w:rPr/>
              <w:t>10.2.6.</w:t>
            </w:r>
            <w:r>
              <w:rPr>
                <w:spacing w:val="39"/>
              </w:rPr>
              <w:t> </w:t>
            </w:r>
            <w:r>
              <w:rPr/>
              <w:t>Corrective</w:t>
            </w:r>
            <w:r>
              <w:rPr>
                <w:spacing w:val="-3"/>
              </w:rPr>
              <w:t> </w:t>
            </w:r>
            <w:r>
              <w:rPr/>
              <w:t>Actions</w:t>
              <w:tab/>
              <w:t>32</w:t>
            </w:r>
          </w:hyperlink>
        </w:p>
        <w:p>
          <w:pPr>
            <w:pStyle w:val="TOC2"/>
            <w:numPr>
              <w:ilvl w:val="1"/>
              <w:numId w:val="1"/>
            </w:numPr>
            <w:tabs>
              <w:tab w:pos="1380" w:val="left" w:leader="none"/>
              <w:tab w:pos="1381" w:val="left" w:leader="none"/>
              <w:tab w:pos="9379" w:val="left" w:leader="dot"/>
            </w:tabs>
            <w:spacing w:line="240" w:lineRule="auto" w:before="0" w:after="0"/>
            <w:ind w:left="1380" w:right="0" w:hanging="857"/>
            <w:jc w:val="left"/>
          </w:pPr>
          <w:hyperlink w:history="true" w:anchor="_TOC_250011">
            <w:r>
              <w:rPr/>
              <w:t>Special</w:t>
            </w:r>
            <w:r>
              <w:rPr>
                <w:spacing w:val="-5"/>
              </w:rPr>
              <w:t> </w:t>
            </w:r>
            <w:r>
              <w:rPr/>
              <w:t>Provisions</w:t>
              <w:tab/>
              <w:t>32</w:t>
            </w:r>
          </w:hyperlink>
        </w:p>
        <w:p>
          <w:pPr>
            <w:pStyle w:val="TOC3"/>
            <w:numPr>
              <w:ilvl w:val="2"/>
              <w:numId w:val="1"/>
            </w:numPr>
            <w:tabs>
              <w:tab w:pos="1600" w:val="left" w:leader="none"/>
              <w:tab w:pos="9368" w:val="left" w:leader="dot"/>
            </w:tabs>
            <w:spacing w:line="240" w:lineRule="auto" w:before="60" w:after="0"/>
            <w:ind w:left="1600" w:right="0" w:hanging="845"/>
            <w:jc w:val="left"/>
          </w:pPr>
          <w:hyperlink w:history="true" w:anchor="_TOC_250010">
            <w:r>
              <w:rPr/>
              <w:t>Reopener</w:t>
            </w:r>
            <w:r>
              <w:rPr>
                <w:spacing w:val="-4"/>
              </w:rPr>
              <w:t> </w:t>
            </w:r>
            <w:r>
              <w:rPr/>
              <w:t>Provisions</w:t>
              <w:tab/>
              <w:t>32</w:t>
            </w:r>
          </w:hyperlink>
        </w:p>
        <w:p>
          <w:pPr>
            <w:pStyle w:val="TOC2"/>
            <w:numPr>
              <w:ilvl w:val="1"/>
              <w:numId w:val="1"/>
            </w:numPr>
            <w:tabs>
              <w:tab w:pos="1380" w:val="left" w:leader="none"/>
              <w:tab w:pos="1381" w:val="left" w:leader="none"/>
              <w:tab w:pos="9374" w:val="left" w:leader="dot"/>
            </w:tabs>
            <w:spacing w:line="240" w:lineRule="auto" w:before="0" w:after="0"/>
            <w:ind w:left="1380" w:right="0" w:hanging="857"/>
            <w:jc w:val="left"/>
          </w:pPr>
          <w:hyperlink w:history="true" w:anchor="_TOC_250009">
            <w:r>
              <w:rPr/>
              <w:t>Electronic Signature and</w:t>
            </w:r>
            <w:r>
              <w:rPr>
                <w:spacing w:val="-16"/>
              </w:rPr>
              <w:t> </w:t>
            </w:r>
            <w:r>
              <w:rPr/>
              <w:t>Certification</w:t>
            </w:r>
            <w:r>
              <w:rPr>
                <w:spacing w:val="-6"/>
              </w:rPr>
              <w:t> </w:t>
            </w:r>
            <w:r>
              <w:rPr/>
              <w:t>Requirements</w:t>
              <w:tab/>
              <w:t>32</w:t>
            </w:r>
          </w:hyperlink>
        </w:p>
        <w:p>
          <w:pPr>
            <w:pStyle w:val="TOC2"/>
            <w:numPr>
              <w:ilvl w:val="1"/>
              <w:numId w:val="1"/>
            </w:numPr>
            <w:tabs>
              <w:tab w:pos="1380" w:val="left" w:leader="none"/>
              <w:tab w:pos="1381" w:val="left" w:leader="none"/>
              <w:tab w:pos="9378" w:val="left" w:leader="dot"/>
            </w:tabs>
            <w:spacing w:line="240" w:lineRule="auto" w:before="60" w:after="83"/>
            <w:ind w:left="1380" w:right="0" w:hanging="857"/>
            <w:jc w:val="left"/>
          </w:pPr>
          <w:hyperlink w:history="true" w:anchor="_TOC_250008">
            <w:r>
              <w:rPr/>
              <w:t>Other</w:t>
            </w:r>
            <w:r>
              <w:rPr>
                <w:spacing w:val="-5"/>
              </w:rPr>
              <w:t> </w:t>
            </w:r>
            <w:r>
              <w:rPr/>
              <w:t>Special</w:t>
            </w:r>
            <w:r>
              <w:rPr>
                <w:spacing w:val="-4"/>
              </w:rPr>
              <w:t> </w:t>
            </w:r>
            <w:r>
              <w:rPr/>
              <w:t>Provisions</w:t>
              <w:tab/>
              <w:t>33</w:t>
            </w:r>
          </w:hyperlink>
        </w:p>
        <w:p>
          <w:pPr>
            <w:pStyle w:val="TOC3"/>
            <w:numPr>
              <w:ilvl w:val="2"/>
              <w:numId w:val="1"/>
            </w:numPr>
            <w:tabs>
              <w:tab w:pos="1600" w:val="left" w:leader="none"/>
              <w:tab w:pos="9635" w:val="right" w:leader="dot"/>
            </w:tabs>
            <w:spacing w:line="240" w:lineRule="auto" w:before="276" w:after="0"/>
            <w:ind w:left="1600" w:right="0" w:hanging="845"/>
            <w:jc w:val="left"/>
          </w:pPr>
          <w:hyperlink w:history="true" w:anchor="_TOC_250007">
            <w:r>
              <w:rPr/>
              <w:t>Expiration and Continuation of</w:t>
            </w:r>
            <w:r>
              <w:rPr>
                <w:spacing w:val="-1"/>
              </w:rPr>
              <w:t> </w:t>
            </w:r>
            <w:r>
              <w:rPr/>
              <w:t>this</w:t>
            </w:r>
            <w:r>
              <w:rPr>
                <w:spacing w:val="-1"/>
              </w:rPr>
              <w:t> </w:t>
            </w:r>
            <w:r>
              <w:rPr/>
              <w:t>Order</w:t>
              <w:tab/>
              <w:t>33</w:t>
            </w:r>
          </w:hyperlink>
        </w:p>
        <w:p>
          <w:pPr>
            <w:pStyle w:val="TOC3"/>
            <w:numPr>
              <w:ilvl w:val="2"/>
              <w:numId w:val="1"/>
            </w:numPr>
            <w:tabs>
              <w:tab w:pos="1600" w:val="left" w:leader="none"/>
              <w:tab w:pos="9638" w:val="right" w:leader="dot"/>
            </w:tabs>
            <w:spacing w:line="240" w:lineRule="auto" w:before="0" w:after="0"/>
            <w:ind w:left="1600" w:right="0" w:hanging="845"/>
            <w:jc w:val="left"/>
          </w:pPr>
          <w:hyperlink w:history="true" w:anchor="_TOC_250006">
            <w:r>
              <w:rPr/>
              <w:t>Reauthorization</w:t>
              <w:tab/>
              <w:t>33</w:t>
            </w:r>
          </w:hyperlink>
        </w:p>
        <w:p>
          <w:pPr>
            <w:pStyle w:val="TOC1"/>
            <w:numPr>
              <w:ilvl w:val="0"/>
              <w:numId w:val="1"/>
            </w:numPr>
            <w:tabs>
              <w:tab w:pos="819" w:val="left" w:leader="none"/>
              <w:tab w:pos="820" w:val="left" w:leader="none"/>
              <w:tab w:pos="9648" w:val="right" w:leader="dot"/>
            </w:tabs>
            <w:spacing w:line="240" w:lineRule="auto" w:before="0" w:after="0"/>
            <w:ind w:left="820" w:right="0" w:hanging="540"/>
            <w:jc w:val="left"/>
          </w:pPr>
          <w:r>
            <w:rPr/>
            <w:t>Compliance</w:t>
          </w:r>
          <w:r>
            <w:rPr>
              <w:spacing w:val="-1"/>
            </w:rPr>
            <w:t> </w:t>
          </w:r>
          <w:r>
            <w:rPr/>
            <w:t>Determination</w:t>
            <w:tab/>
            <w:t>34</w:t>
          </w:r>
        </w:p>
        <w:p>
          <w:pPr>
            <w:pStyle w:val="TOC2"/>
            <w:numPr>
              <w:ilvl w:val="1"/>
              <w:numId w:val="3"/>
            </w:numPr>
            <w:tabs>
              <w:tab w:pos="1380" w:val="left" w:leader="none"/>
              <w:tab w:pos="1381" w:val="left" w:leader="none"/>
              <w:tab w:pos="9645" w:val="right" w:leader="dot"/>
            </w:tabs>
            <w:spacing w:line="240" w:lineRule="auto" w:before="60" w:after="0"/>
            <w:ind w:left="1380" w:right="0" w:hanging="857"/>
            <w:jc w:val="left"/>
          </w:pPr>
          <w:hyperlink w:history="true" w:anchor="_TOC_250005">
            <w:r>
              <w:rPr/>
              <w:t>Single Constituent</w:t>
            </w:r>
            <w:r>
              <w:rPr>
                <w:spacing w:val="-1"/>
              </w:rPr>
              <w:t> </w:t>
            </w:r>
            <w:r>
              <w:rPr/>
              <w:t>Effluent</w:t>
            </w:r>
            <w:r>
              <w:rPr>
                <w:spacing w:val="-1"/>
              </w:rPr>
              <w:t> </w:t>
            </w:r>
            <w:r>
              <w:rPr/>
              <w:t>Limitations</w:t>
              <w:tab/>
              <w:t>34</w:t>
            </w:r>
          </w:hyperlink>
        </w:p>
        <w:p>
          <w:pPr>
            <w:pStyle w:val="TOC2"/>
            <w:numPr>
              <w:ilvl w:val="1"/>
              <w:numId w:val="3"/>
            </w:numPr>
            <w:tabs>
              <w:tab w:pos="1380" w:val="left" w:leader="none"/>
              <w:tab w:pos="1381" w:val="left" w:leader="none"/>
              <w:tab w:pos="9640" w:val="right" w:leader="dot"/>
            </w:tabs>
            <w:spacing w:line="240" w:lineRule="auto" w:before="60" w:after="0"/>
            <w:ind w:left="1380" w:right="0" w:hanging="857"/>
            <w:jc w:val="left"/>
          </w:pPr>
          <w:hyperlink w:history="true" w:anchor="_TOC_250004">
            <w:r>
              <w:rPr/>
              <w:t>Effluent Limitations Expressed as a Sum of</w:t>
            </w:r>
            <w:r>
              <w:rPr>
                <w:spacing w:val="-14"/>
              </w:rPr>
              <w:t> </w:t>
            </w:r>
            <w:r>
              <w:rPr/>
              <w:t>Several</w:t>
            </w:r>
            <w:r>
              <w:rPr>
                <w:spacing w:val="-1"/>
              </w:rPr>
              <w:t> </w:t>
            </w:r>
            <w:r>
              <w:rPr/>
              <w:t>Constituents</w:t>
              <w:tab/>
              <w:t>34</w:t>
            </w:r>
          </w:hyperlink>
        </w:p>
        <w:p>
          <w:pPr>
            <w:pStyle w:val="TOC2"/>
            <w:numPr>
              <w:ilvl w:val="1"/>
              <w:numId w:val="3"/>
            </w:numPr>
            <w:tabs>
              <w:tab w:pos="1380" w:val="left" w:leader="none"/>
              <w:tab w:pos="1381" w:val="left" w:leader="none"/>
              <w:tab w:pos="9644" w:val="right" w:leader="dot"/>
            </w:tabs>
            <w:spacing w:line="240" w:lineRule="auto" w:before="60" w:after="0"/>
            <w:ind w:left="1380" w:right="0" w:hanging="857"/>
            <w:jc w:val="left"/>
          </w:pPr>
          <w:hyperlink w:history="true" w:anchor="_TOC_250003">
            <w:r>
              <w:rPr/>
              <w:t>Instantaneous Minimum</w:t>
            </w:r>
            <w:r>
              <w:rPr>
                <w:spacing w:val="-1"/>
              </w:rPr>
              <w:t> </w:t>
            </w:r>
            <w:r>
              <w:rPr/>
              <w:t>Effluent</w:t>
            </w:r>
            <w:r>
              <w:rPr>
                <w:spacing w:val="-1"/>
              </w:rPr>
              <w:t> </w:t>
            </w:r>
            <w:r>
              <w:rPr/>
              <w:t>Limitations</w:t>
              <w:tab/>
              <w:t>34</w:t>
            </w:r>
          </w:hyperlink>
        </w:p>
        <w:p>
          <w:pPr>
            <w:pStyle w:val="TOC2"/>
            <w:numPr>
              <w:ilvl w:val="1"/>
              <w:numId w:val="3"/>
            </w:numPr>
            <w:tabs>
              <w:tab w:pos="1380" w:val="left" w:leader="none"/>
              <w:tab w:pos="1381" w:val="left" w:leader="none"/>
              <w:tab w:pos="9644" w:val="right" w:leader="dot"/>
            </w:tabs>
            <w:spacing w:line="240" w:lineRule="auto" w:before="60" w:after="0"/>
            <w:ind w:left="1380" w:right="0" w:hanging="857"/>
            <w:jc w:val="left"/>
          </w:pPr>
          <w:hyperlink w:history="true" w:anchor="_TOC_250002">
            <w:r>
              <w:rPr/>
              <w:t>Instantaneous Maximum</w:t>
            </w:r>
            <w:r>
              <w:rPr>
                <w:spacing w:val="-1"/>
              </w:rPr>
              <w:t> </w:t>
            </w:r>
            <w:r>
              <w:rPr/>
              <w:t>Effluent Limitations</w:t>
              <w:tab/>
              <w:t>34</w:t>
            </w:r>
          </w:hyperlink>
        </w:p>
        <w:p>
          <w:pPr>
            <w:pStyle w:val="TOC2"/>
            <w:numPr>
              <w:ilvl w:val="1"/>
              <w:numId w:val="3"/>
            </w:numPr>
            <w:tabs>
              <w:tab w:pos="1380" w:val="left" w:leader="none"/>
              <w:tab w:pos="1381" w:val="left" w:leader="none"/>
              <w:tab w:pos="9645" w:val="right" w:leader="dot"/>
            </w:tabs>
            <w:spacing w:line="240" w:lineRule="auto" w:before="60" w:after="0"/>
            <w:ind w:left="1380" w:right="0" w:hanging="857"/>
            <w:jc w:val="left"/>
          </w:pPr>
          <w:hyperlink w:history="true" w:anchor="_TOC_250001">
            <w:r>
              <w:rPr/>
              <w:t>Monthly Average</w:t>
            </w:r>
            <w:r>
              <w:rPr>
                <w:spacing w:val="-1"/>
              </w:rPr>
              <w:t> </w:t>
            </w:r>
            <w:r>
              <w:rPr/>
              <w:t>Effluent</w:t>
            </w:r>
            <w:r>
              <w:rPr>
                <w:spacing w:val="1"/>
              </w:rPr>
              <w:t> </w:t>
            </w:r>
            <w:r>
              <w:rPr/>
              <w:t>Limitations</w:t>
              <w:tab/>
              <w:t>35</w:t>
            </w:r>
          </w:hyperlink>
        </w:p>
        <w:p>
          <w:pPr>
            <w:pStyle w:val="TOC2"/>
            <w:numPr>
              <w:ilvl w:val="1"/>
              <w:numId w:val="3"/>
            </w:numPr>
            <w:tabs>
              <w:tab w:pos="1380" w:val="left" w:leader="none"/>
              <w:tab w:pos="1381" w:val="left" w:leader="none"/>
              <w:tab w:pos="9645" w:val="right" w:leader="dot"/>
            </w:tabs>
            <w:spacing w:line="240" w:lineRule="auto" w:before="60" w:after="0"/>
            <w:ind w:left="1380" w:right="0" w:hanging="857"/>
            <w:jc w:val="left"/>
          </w:pPr>
          <w:hyperlink w:history="true" w:anchor="_TOC_250000">
            <w:r>
              <w:rPr/>
              <w:t>Three Year Average</w:t>
            </w:r>
            <w:r>
              <w:rPr>
                <w:spacing w:val="-2"/>
              </w:rPr>
              <w:t> </w:t>
            </w:r>
            <w:r>
              <w:rPr/>
              <w:t>Effluent Limitations</w:t>
              <w:tab/>
              <w:t>35</w:t>
            </w:r>
          </w:hyperlink>
        </w:p>
        <w:p>
          <w:pPr>
            <w:pStyle w:val="TOC2"/>
            <w:numPr>
              <w:ilvl w:val="1"/>
              <w:numId w:val="3"/>
            </w:numPr>
            <w:tabs>
              <w:tab w:pos="1380" w:val="left" w:leader="none"/>
              <w:tab w:pos="1381" w:val="left" w:leader="none"/>
              <w:tab w:pos="9646" w:val="right" w:leader="dot"/>
            </w:tabs>
            <w:spacing w:line="240" w:lineRule="auto" w:before="60" w:after="0"/>
            <w:ind w:left="1380" w:right="0" w:hanging="857"/>
            <w:jc w:val="left"/>
          </w:pPr>
          <w:r>
            <w:rPr/>
            <w:t>Multiple</w:t>
          </w:r>
          <w:r>
            <w:rPr>
              <w:spacing w:val="-1"/>
            </w:rPr>
            <w:t> </w:t>
          </w:r>
          <w:r>
            <w:rPr/>
            <w:t>Sample Data</w:t>
            <w:tab/>
            <w:t>35</w:t>
          </w:r>
        </w:p>
        <w:p>
          <w:pPr>
            <w:pStyle w:val="TOC2"/>
            <w:numPr>
              <w:ilvl w:val="1"/>
              <w:numId w:val="3"/>
            </w:numPr>
            <w:tabs>
              <w:tab w:pos="1380" w:val="left" w:leader="none"/>
              <w:tab w:pos="1381" w:val="left" w:leader="none"/>
              <w:tab w:pos="9646" w:val="right" w:leader="dot"/>
            </w:tabs>
            <w:spacing w:line="240" w:lineRule="auto" w:before="60" w:after="0"/>
            <w:ind w:left="1380" w:right="0" w:hanging="857"/>
            <w:jc w:val="left"/>
          </w:pPr>
          <w:r>
            <w:rPr/>
            <w:t>Bacterial Standards</w:t>
          </w:r>
          <w:r>
            <w:rPr>
              <w:spacing w:val="-1"/>
            </w:rPr>
            <w:t> </w:t>
          </w:r>
          <w:r>
            <w:rPr/>
            <w:t>and Analyses</w:t>
            <w:tab/>
            <w:t>36</w:t>
          </w:r>
        </w:p>
      </w:sdtContent>
    </w:sdt>
    <w:p>
      <w:pPr>
        <w:spacing w:after="0" w:line="240" w:lineRule="auto"/>
        <w:jc w:val="left"/>
        <w:sectPr>
          <w:type w:val="continuous"/>
          <w:pgSz w:w="12240" w:h="15840"/>
          <w:pgMar w:top="1548" w:bottom="1648" w:left="1160" w:right="420"/>
        </w:sectPr>
      </w:pPr>
    </w:p>
    <w:p>
      <w:pPr>
        <w:pStyle w:val="BodyText"/>
        <w:spacing w:before="5"/>
        <w:rPr>
          <w:sz w:val="34"/>
        </w:rPr>
      </w:pPr>
    </w:p>
    <w:p>
      <w:pPr>
        <w:spacing w:before="0"/>
        <w:ind w:left="1209" w:right="1947" w:firstLine="0"/>
        <w:jc w:val="center"/>
        <w:rPr>
          <w:b/>
          <w:sz w:val="24"/>
        </w:rPr>
      </w:pPr>
      <w:r>
        <w:rPr>
          <w:b/>
          <w:sz w:val="24"/>
        </w:rPr>
        <w:t>TABLE OF TABLES</w:t>
      </w:r>
    </w:p>
    <w:p>
      <w:pPr>
        <w:pStyle w:val="BodyText"/>
        <w:spacing w:before="10"/>
        <w:rPr>
          <w:b/>
          <w:sz w:val="20"/>
        </w:rPr>
      </w:pPr>
    </w:p>
    <w:p>
      <w:pPr>
        <w:pStyle w:val="BodyText"/>
        <w:tabs>
          <w:tab w:pos="9365" w:val="left" w:leader="dot"/>
        </w:tabs>
        <w:ind w:left="280"/>
      </w:pPr>
      <w:r>
        <w:rPr/>
        <w:t>Table 1. Effluent Limitations Applicable to</w:t>
      </w:r>
      <w:r>
        <w:rPr>
          <w:spacing w:val="-28"/>
        </w:rPr>
        <w:t> </w:t>
      </w:r>
      <w:r>
        <w:rPr/>
        <w:t>Specific</w:t>
      </w:r>
      <w:r>
        <w:rPr>
          <w:spacing w:val="-6"/>
        </w:rPr>
        <w:t> </w:t>
      </w:r>
      <w:r>
        <w:rPr/>
        <w:t>Waterbodies</w:t>
        <w:tab/>
        <w:t>18</w:t>
      </w:r>
    </w:p>
    <w:p>
      <w:pPr>
        <w:pStyle w:val="BodyText"/>
        <w:tabs>
          <w:tab w:pos="9363" w:val="left" w:leader="dot"/>
        </w:tabs>
        <w:ind w:left="280" w:right="1027"/>
      </w:pPr>
      <w:r>
        <w:rPr/>
        <w:t>Table 2. Sediment-Associated Effluent Limitations Applicable to the Dominguez Channel Estuary and Inner and Outer Los Angeles and Long Beach</w:t>
      </w:r>
      <w:r>
        <w:rPr>
          <w:spacing w:val="-22"/>
        </w:rPr>
        <w:t> </w:t>
      </w:r>
      <w:r>
        <w:rPr/>
        <w:t>Harbor</w:t>
      </w:r>
      <w:r>
        <w:rPr>
          <w:spacing w:val="-2"/>
        </w:rPr>
        <w:t> </w:t>
      </w:r>
      <w:r>
        <w:rPr/>
        <w:t>Waters</w:t>
        <w:tab/>
      </w:r>
      <w:r>
        <w:rPr>
          <w:spacing w:val="-9"/>
        </w:rPr>
        <w:t>20</w:t>
      </w:r>
    </w:p>
    <w:p>
      <w:pPr>
        <w:pStyle w:val="BodyText"/>
        <w:tabs>
          <w:tab w:pos="9371" w:val="left" w:leader="dot"/>
        </w:tabs>
        <w:ind w:left="280" w:right="1018"/>
      </w:pPr>
      <w:r>
        <w:rPr/>
        <w:t>Table 3. Effluent Limitations Applicable to Specific Waterbodies by the compliance deadline noted in</w:t>
      </w:r>
      <w:r>
        <w:rPr>
          <w:spacing w:val="-5"/>
        </w:rPr>
        <w:t> </w:t>
      </w:r>
      <w:r>
        <w:rPr/>
        <w:t>the</w:t>
      </w:r>
      <w:r>
        <w:rPr>
          <w:spacing w:val="-1"/>
        </w:rPr>
        <w:t> </w:t>
      </w:r>
      <w:r>
        <w:rPr/>
        <w:t>table</w:t>
        <w:tab/>
      </w:r>
      <w:r>
        <w:rPr>
          <w:spacing w:val="-8"/>
        </w:rPr>
        <w:t>21</w:t>
      </w:r>
    </w:p>
    <w:p>
      <w:pPr>
        <w:pStyle w:val="BodyText"/>
        <w:tabs>
          <w:tab w:pos="9367" w:val="left" w:leader="dot"/>
        </w:tabs>
        <w:ind w:left="280" w:right="1022"/>
      </w:pPr>
      <w:r>
        <w:rPr/>
        <w:t>Table 4. Sediment-Associated Effluent Limitations Applicable to Specific Waterbodies by the compliance deadline noted in</w:t>
      </w:r>
      <w:r>
        <w:rPr>
          <w:spacing w:val="-15"/>
        </w:rPr>
        <w:t> </w:t>
      </w:r>
      <w:r>
        <w:rPr/>
        <w:t>the</w:t>
      </w:r>
      <w:r>
        <w:rPr>
          <w:spacing w:val="-2"/>
        </w:rPr>
        <w:t> </w:t>
      </w:r>
      <w:r>
        <w:rPr/>
        <w:t>table</w:t>
        <w:tab/>
      </w:r>
      <w:r>
        <w:rPr>
          <w:spacing w:val="-8"/>
        </w:rPr>
        <w:t>22</w:t>
      </w:r>
    </w:p>
    <w:p>
      <w:pPr>
        <w:pStyle w:val="BodyText"/>
        <w:spacing w:before="3"/>
        <w:rPr>
          <w:sz w:val="29"/>
        </w:rPr>
      </w:pPr>
    </w:p>
    <w:p>
      <w:pPr>
        <w:pStyle w:val="Heading1"/>
        <w:ind w:left="1210" w:right="1947"/>
        <w:jc w:val="center"/>
      </w:pPr>
      <w:r>
        <w:rPr/>
        <w:t>TABLE OF ATTACHMENTS</w:t>
      </w:r>
    </w:p>
    <w:p>
      <w:pPr>
        <w:pStyle w:val="BodyText"/>
        <w:spacing w:before="8"/>
        <w:rPr>
          <w:b/>
          <w:sz w:val="20"/>
        </w:rPr>
      </w:pPr>
    </w:p>
    <w:p>
      <w:pPr>
        <w:pStyle w:val="BodyText"/>
        <w:spacing w:before="1"/>
        <w:ind w:left="280"/>
        <w:jc w:val="both"/>
      </w:pPr>
      <w:r>
        <w:rPr>
          <w:b/>
        </w:rPr>
        <w:t>Attachment A — </w:t>
      </w:r>
      <w:r>
        <w:rPr/>
        <w:t>Acronyms and Definitions</w:t>
      </w:r>
      <w:r>
        <w:rPr>
          <w:spacing w:val="-54"/>
        </w:rPr>
        <w:t> </w:t>
      </w:r>
      <w:r>
        <w:rPr/>
        <w:t>................................................................A-1</w:t>
      </w:r>
    </w:p>
    <w:p>
      <w:pPr>
        <w:pStyle w:val="BodyText"/>
        <w:spacing w:line="292" w:lineRule="auto" w:before="60"/>
        <w:ind w:left="280" w:right="1011"/>
        <w:jc w:val="both"/>
      </w:pPr>
      <w:r>
        <w:rPr>
          <w:b/>
        </w:rPr>
        <w:t>Attachment B — </w:t>
      </w:r>
      <w:r>
        <w:rPr/>
        <w:t>Watershed Management Area Maps ...............................................B-1 </w:t>
      </w:r>
      <w:r>
        <w:rPr>
          <w:b/>
        </w:rPr>
        <w:t>Attachment C — </w:t>
      </w:r>
      <w:r>
        <w:rPr/>
        <w:t>Los Angeles Region Storm Drain System Maps............................. C-1 </w:t>
      </w:r>
      <w:r>
        <w:rPr>
          <w:b/>
        </w:rPr>
        <w:t>Attachment D — </w:t>
      </w:r>
      <w:r>
        <w:rPr/>
        <w:t>Standard Provisions .......................................................................</w:t>
      </w:r>
      <w:r>
        <w:rPr>
          <w:spacing w:val="-31"/>
        </w:rPr>
        <w:t> </w:t>
      </w:r>
      <w:r>
        <w:rPr/>
        <w:t>D-1</w:t>
      </w:r>
    </w:p>
    <w:p>
      <w:pPr>
        <w:pStyle w:val="BodyText"/>
        <w:spacing w:line="274" w:lineRule="exact"/>
        <w:ind w:left="280"/>
        <w:jc w:val="both"/>
      </w:pPr>
      <w:r>
        <w:rPr>
          <w:b/>
        </w:rPr>
        <w:t>Attachment E — </w:t>
      </w:r>
      <w:r>
        <w:rPr/>
        <w:t>Monitoring and Reporting</w:t>
      </w:r>
      <w:r>
        <w:rPr>
          <w:spacing w:val="-1"/>
        </w:rPr>
        <w:t> </w:t>
      </w:r>
      <w:r>
        <w:rPr/>
        <w:t>Program..................................................E-1</w:t>
      </w:r>
    </w:p>
    <w:p>
      <w:pPr>
        <w:pStyle w:val="BodyText"/>
        <w:spacing w:before="60"/>
        <w:ind w:left="280"/>
      </w:pPr>
      <w:r>
        <w:rPr>
          <w:b/>
        </w:rPr>
        <w:t>Attachment F — </w:t>
      </w:r>
      <w:r>
        <w:rPr/>
        <w:t>Fact Sheet .......................................................................................</w:t>
      </w:r>
      <w:r>
        <w:rPr>
          <w:spacing w:val="-50"/>
        </w:rPr>
        <w:t> </w:t>
      </w:r>
      <w:r>
        <w:rPr/>
        <w:t>F-1</w:t>
      </w:r>
    </w:p>
    <w:p>
      <w:pPr>
        <w:pStyle w:val="BodyText"/>
        <w:spacing w:before="60"/>
        <w:ind w:left="280"/>
      </w:pPr>
      <w:r>
        <w:rPr>
          <w:b/>
        </w:rPr>
        <w:t>Attachment G — </w:t>
      </w:r>
      <w:r>
        <w:rPr/>
        <w:t>Permit Registration Documents......................................................</w:t>
      </w:r>
      <w:r>
        <w:rPr>
          <w:spacing w:val="-31"/>
        </w:rPr>
        <w:t> </w:t>
      </w:r>
      <w:r>
        <w:rPr/>
        <w:t>G-1</w:t>
      </w:r>
    </w:p>
    <w:p>
      <w:pPr>
        <w:pStyle w:val="BodyText"/>
        <w:spacing w:before="60"/>
        <w:ind w:left="280"/>
      </w:pPr>
      <w:r>
        <w:rPr>
          <w:b/>
        </w:rPr>
        <w:t>Attachment H — </w:t>
      </w:r>
      <w:r>
        <w:rPr/>
        <w:t>Watershed Management Programs................................................</w:t>
      </w:r>
      <w:r>
        <w:rPr>
          <w:spacing w:val="-5"/>
        </w:rPr>
        <w:t> </w:t>
      </w:r>
      <w:r>
        <w:rPr/>
        <w:t>H-1</w:t>
      </w:r>
    </w:p>
    <w:p>
      <w:pPr>
        <w:pStyle w:val="BodyText"/>
        <w:spacing w:before="60"/>
        <w:ind w:left="280"/>
      </w:pPr>
      <w:r>
        <w:rPr>
          <w:b/>
        </w:rPr>
        <w:t>Attachment I — </w:t>
      </w:r>
      <w:r>
        <w:rPr/>
        <w:t>Compliance Option 2..........................................................................</w:t>
      </w:r>
      <w:r>
        <w:rPr>
          <w:spacing w:val="-48"/>
        </w:rPr>
        <w:t> </w:t>
      </w:r>
      <w:r>
        <w:rPr/>
        <w:t>I-2</w:t>
      </w:r>
    </w:p>
    <w:p>
      <w:pPr>
        <w:pStyle w:val="BodyText"/>
        <w:spacing w:before="60"/>
        <w:ind w:left="280"/>
      </w:pPr>
      <w:r>
        <w:rPr>
          <w:b/>
        </w:rPr>
        <w:t>Attachment</w:t>
      </w:r>
      <w:r>
        <w:rPr>
          <w:b/>
          <w:spacing w:val="-4"/>
        </w:rPr>
        <w:t> </w:t>
      </w:r>
      <w:r>
        <w:rPr>
          <w:b/>
        </w:rPr>
        <w:t>J</w:t>
      </w:r>
      <w:r>
        <w:rPr>
          <w:b/>
          <w:spacing w:val="-3"/>
        </w:rPr>
        <w:t> </w:t>
      </w:r>
      <w:r>
        <w:rPr>
          <w:b/>
        </w:rPr>
        <w:t>—</w:t>
      </w:r>
      <w:r>
        <w:rPr>
          <w:b/>
          <w:spacing w:val="-3"/>
        </w:rPr>
        <w:t> </w:t>
      </w:r>
      <w:r>
        <w:rPr/>
        <w:t>List</w:t>
      </w:r>
      <w:r>
        <w:rPr>
          <w:spacing w:val="-3"/>
        </w:rPr>
        <w:t> </w:t>
      </w:r>
      <w:r>
        <w:rPr/>
        <w:t>of</w:t>
      </w:r>
      <w:r>
        <w:rPr>
          <w:spacing w:val="-3"/>
        </w:rPr>
        <w:t> </w:t>
      </w:r>
      <w:r>
        <w:rPr/>
        <w:t>Existing</w:t>
      </w:r>
      <w:r>
        <w:rPr>
          <w:spacing w:val="-4"/>
        </w:rPr>
        <w:t> </w:t>
      </w:r>
      <w:r>
        <w:rPr/>
        <w:t>Total</w:t>
      </w:r>
      <w:r>
        <w:rPr>
          <w:spacing w:val="-4"/>
        </w:rPr>
        <w:t> </w:t>
      </w:r>
      <w:r>
        <w:rPr/>
        <w:t>Maximum</w:t>
      </w:r>
      <w:r>
        <w:rPr>
          <w:spacing w:val="-3"/>
        </w:rPr>
        <w:t> </w:t>
      </w:r>
      <w:r>
        <w:rPr/>
        <w:t>Daily</w:t>
      </w:r>
      <w:r>
        <w:rPr>
          <w:spacing w:val="-4"/>
        </w:rPr>
        <w:t> </w:t>
      </w:r>
      <w:r>
        <w:rPr/>
        <w:t>Loads</w:t>
      </w:r>
      <w:r>
        <w:rPr>
          <w:spacing w:val="-46"/>
        </w:rPr>
        <w:t> </w:t>
      </w:r>
      <w:r>
        <w:rPr/>
        <w:t>.....................................</w:t>
      </w:r>
      <w:r>
        <w:rPr>
          <w:spacing w:val="-18"/>
        </w:rPr>
        <w:t> </w:t>
      </w:r>
      <w:r>
        <w:rPr/>
        <w:t>J-1</w:t>
      </w:r>
    </w:p>
    <w:p>
      <w:pPr>
        <w:spacing w:after="0"/>
        <w:sectPr>
          <w:type w:val="continuous"/>
          <w:pgSz w:w="12240" w:h="15840"/>
          <w:pgMar w:top="1540" w:bottom="980" w:left="1160" w:right="420"/>
        </w:sectPr>
      </w:pPr>
    </w:p>
    <w:p>
      <w:pPr>
        <w:pStyle w:val="BodyText"/>
        <w:spacing w:before="11"/>
        <w:rPr>
          <w:sz w:val="15"/>
        </w:rPr>
      </w:pPr>
    </w:p>
    <w:p>
      <w:pPr>
        <w:pStyle w:val="Heading1"/>
        <w:numPr>
          <w:ilvl w:val="0"/>
          <w:numId w:val="4"/>
        </w:numPr>
        <w:tabs>
          <w:tab w:pos="640" w:val="left" w:leader="none"/>
        </w:tabs>
        <w:spacing w:line="240" w:lineRule="auto" w:before="92" w:after="0"/>
        <w:ind w:left="639" w:right="0" w:hanging="360"/>
        <w:jc w:val="left"/>
      </w:pPr>
      <w:bookmarkStart w:name="_TOC_250051" w:id="1"/>
      <w:r>
        <w:rPr/>
        <w:t>FACILITY/DISCHARGE</w:t>
      </w:r>
      <w:r>
        <w:rPr>
          <w:spacing w:val="-1"/>
        </w:rPr>
        <w:t> </w:t>
      </w:r>
      <w:bookmarkEnd w:id="1"/>
      <w:r>
        <w:rPr/>
        <w:t>INFORMATION.</w:t>
      </w:r>
    </w:p>
    <w:p>
      <w:pPr>
        <w:pStyle w:val="BodyText"/>
        <w:rPr>
          <w:b/>
        </w:rPr>
      </w:pPr>
    </w:p>
    <w:p>
      <w:pPr>
        <w:pStyle w:val="BodyText"/>
        <w:ind w:left="640" w:right="1034"/>
      </w:pPr>
      <w:r>
        <w:rPr/>
        <w:t>This Order authorizes the discharge of stormwater and authorized non-stormwater discharges (NSWDs) (collectively, discharges) from certain commercial, industrial, and institutional sites (hereinafter CII sites or CII facilities) within the Dominguez Channel/Inner and Outer Los Angeles and Long Beach Harbor Watershed and the Los Cerritos Channel/Alamitos Bay Watershed (receiving waters). This includes discharges from CII sites to municipal separate storm sewer systems (MS4s) or private conveyance systems that ultimately convey these discharges to receiving waters. The U.S. Environmental Protection Agency (USEPA) has determined that stormwater discharges from CII facilities contribute to violations of water quality standards and have designated the discharges for NPDES permitting. References to the “discharger”, “permittee”, or “co-permittee” in applicable State and federal laws, regulations, plans, or policies are held to be equivalent to references to the Dischargers or Permittees herein. Discharges authorized under this General Permit are subject to all applicable conditions set forth in this Order. Attachment A lists definitions of terms, abbreviations, and acronyms used in this Order and all other attachments.</w:t>
      </w:r>
    </w:p>
    <w:p>
      <w:pPr>
        <w:pStyle w:val="BodyText"/>
        <w:spacing w:before="10"/>
        <w:rPr>
          <w:sz w:val="20"/>
        </w:rPr>
      </w:pPr>
    </w:p>
    <w:p>
      <w:pPr>
        <w:pStyle w:val="Heading1"/>
        <w:numPr>
          <w:ilvl w:val="0"/>
          <w:numId w:val="4"/>
        </w:numPr>
        <w:tabs>
          <w:tab w:pos="640" w:val="left" w:leader="none"/>
        </w:tabs>
        <w:spacing w:line="240" w:lineRule="auto" w:before="1" w:after="0"/>
        <w:ind w:left="639" w:right="0" w:hanging="360"/>
        <w:jc w:val="left"/>
      </w:pPr>
      <w:bookmarkStart w:name="_TOC_250050" w:id="2"/>
      <w:bookmarkEnd w:id="2"/>
      <w:r>
        <w:rPr/>
        <w:t>FINDINGS.</w:t>
      </w:r>
    </w:p>
    <w:p>
      <w:pPr>
        <w:pStyle w:val="BodyText"/>
        <w:rPr>
          <w:b/>
        </w:rPr>
      </w:pPr>
    </w:p>
    <w:p>
      <w:pPr>
        <w:pStyle w:val="BodyText"/>
        <w:ind w:left="640" w:right="2142"/>
      </w:pPr>
      <w:r>
        <w:rPr/>
        <w:t>The California Regional Water Quality Control Board, Los Angeles Region (hereinafter Los Angeles Water Board) finds:</w:t>
      </w:r>
    </w:p>
    <w:p>
      <w:pPr>
        <w:pStyle w:val="BodyText"/>
        <w:spacing w:before="8"/>
        <w:rPr>
          <w:sz w:val="20"/>
        </w:rPr>
      </w:pPr>
    </w:p>
    <w:p>
      <w:pPr>
        <w:pStyle w:val="Heading1"/>
        <w:numPr>
          <w:ilvl w:val="1"/>
          <w:numId w:val="4"/>
        </w:numPr>
        <w:tabs>
          <w:tab w:pos="871" w:val="left" w:leader="none"/>
        </w:tabs>
        <w:spacing w:line="240" w:lineRule="auto" w:before="1" w:after="0"/>
        <w:ind w:left="870" w:right="0" w:hanging="591"/>
        <w:jc w:val="left"/>
      </w:pPr>
      <w:bookmarkStart w:name="_TOC_250049" w:id="3"/>
      <w:r>
        <w:rPr/>
        <w:t>Legal</w:t>
      </w:r>
      <w:r>
        <w:rPr>
          <w:spacing w:val="-1"/>
        </w:rPr>
        <w:t> </w:t>
      </w:r>
      <w:bookmarkEnd w:id="3"/>
      <w:r>
        <w:rPr/>
        <w:t>Authorities.</w:t>
      </w:r>
    </w:p>
    <w:p>
      <w:pPr>
        <w:pStyle w:val="BodyText"/>
        <w:spacing w:before="11"/>
        <w:rPr>
          <w:b/>
          <w:sz w:val="23"/>
        </w:rPr>
      </w:pPr>
    </w:p>
    <w:p>
      <w:pPr>
        <w:pStyle w:val="BodyText"/>
        <w:ind w:left="870" w:right="1006"/>
      </w:pPr>
      <w:r>
        <w:rPr/>
        <w:t>This Order serves as waste discharge requirements (WDRs) pursuant to article 4, chapter 4, division 7 of the California Water Code (CWC) (commencing with section 13260). This Order is also issued pursuant to section 402 of the federal Clean Water Act (CWA) and implementing regulations adopted by the USEPA and chapter 5.5, division 7 of the CWC (commencing with section 13370). It shall serve as a National Pollutant Discharge Elimination System (NPDES) permit authorizing the Dischargers to discharge into waters of the United States within the Los Angeles Region subject to the WDRs in this Order.</w:t>
      </w:r>
    </w:p>
    <w:p>
      <w:pPr>
        <w:pStyle w:val="BodyText"/>
        <w:spacing w:before="10"/>
        <w:rPr>
          <w:sz w:val="20"/>
        </w:rPr>
      </w:pPr>
    </w:p>
    <w:p>
      <w:pPr>
        <w:pStyle w:val="Heading1"/>
        <w:numPr>
          <w:ilvl w:val="1"/>
          <w:numId w:val="4"/>
        </w:numPr>
        <w:tabs>
          <w:tab w:pos="871" w:val="left" w:leader="none"/>
        </w:tabs>
        <w:spacing w:line="240" w:lineRule="auto" w:before="0" w:after="0"/>
        <w:ind w:left="870" w:right="0" w:hanging="592"/>
        <w:jc w:val="left"/>
      </w:pPr>
      <w:bookmarkStart w:name="_TOC_250048" w:id="4"/>
      <w:r>
        <w:rPr/>
        <w:t>Rationale for</w:t>
      </w:r>
      <w:r>
        <w:rPr>
          <w:spacing w:val="-1"/>
        </w:rPr>
        <w:t> </w:t>
      </w:r>
      <w:bookmarkEnd w:id="4"/>
      <w:r>
        <w:rPr/>
        <w:t>Requirements.</w:t>
      </w:r>
    </w:p>
    <w:p>
      <w:pPr>
        <w:pStyle w:val="BodyText"/>
        <w:rPr>
          <w:b/>
        </w:rPr>
      </w:pPr>
    </w:p>
    <w:p>
      <w:pPr>
        <w:pStyle w:val="BodyText"/>
        <w:ind w:left="870" w:right="1152"/>
      </w:pPr>
      <w:r>
        <w:rPr/>
        <w:t>The requirements in this Order are based on applicable State and federal laws and regulations, and available information. The Fact Sheet (Attachment F), which contains background information and rationale for the requirements in this Order, is hereby incorporated into and constitutes Findings for the Order. Attachments A through E and G through K are also incorporated into this Order.</w:t>
      </w:r>
    </w:p>
    <w:p>
      <w:pPr>
        <w:pStyle w:val="BodyText"/>
        <w:rPr>
          <w:sz w:val="26"/>
        </w:rPr>
      </w:pPr>
    </w:p>
    <w:p>
      <w:pPr>
        <w:pStyle w:val="Heading1"/>
        <w:numPr>
          <w:ilvl w:val="1"/>
          <w:numId w:val="4"/>
        </w:numPr>
        <w:tabs>
          <w:tab w:pos="871" w:val="left" w:leader="none"/>
        </w:tabs>
        <w:spacing w:line="240" w:lineRule="auto" w:before="218" w:after="0"/>
        <w:ind w:left="870" w:right="0" w:hanging="592"/>
        <w:jc w:val="left"/>
      </w:pPr>
      <w:bookmarkStart w:name="_TOC_250047" w:id="5"/>
      <w:bookmarkEnd w:id="5"/>
      <w:r>
        <w:rPr/>
        <w:t>Background.</w:t>
      </w:r>
    </w:p>
    <w:p>
      <w:pPr>
        <w:spacing w:after="0" w:line="240" w:lineRule="auto"/>
        <w:jc w:val="left"/>
        <w:sectPr>
          <w:pgSz w:w="12240" w:h="15840"/>
          <w:pgMar w:header="728" w:footer="788" w:top="1540" w:bottom="980" w:left="1160" w:right="420"/>
        </w:sectPr>
      </w:pPr>
    </w:p>
    <w:p>
      <w:pPr>
        <w:pStyle w:val="BodyText"/>
        <w:spacing w:before="11"/>
        <w:rPr>
          <w:b/>
          <w:sz w:val="15"/>
        </w:rPr>
      </w:pPr>
    </w:p>
    <w:p>
      <w:pPr>
        <w:pStyle w:val="BodyText"/>
        <w:spacing w:before="92"/>
        <w:ind w:left="870" w:right="1111"/>
      </w:pPr>
      <w:r>
        <w:rPr/>
        <w:t>Sections 402(p)(2)(E) and 402(p)(6) of the CWA, and sections 122.26(a)(9)(i)(C) and (D) of title 40 of the Code of Federal Regulations (40 CFR) provide that the USEPA Regional Administrator or authorized states may designate additional stormwater discharges as requiring NPDES permits where it is determined that stormwater controls are needed for the discharge based on wasteload allocations (WLAs) that are part of total maximum daily loads (TMDLs) that address the pollutants of concern; or the discharge, or category of discharges within a geographic area, contributes to a violation of a water quality standard or is a significant contributor of pollutants to waters of the United States. This authority is commonly referred to as Residual Designation Authority (RDA). USEPA has exercised RDA pursuant to 40 CFR section 122.26(a)(9)(i)(D) for certain CII sites in the Alamitos Bay/Los Cerritos Channel watershed and the Dominguez Channel and Los Angeles/Long Beach Harbor watershed. Concurrent with USEPA’s exercise of its RDA authority, the Los Angeles Water Board is issuing this general permit.</w:t>
      </w:r>
    </w:p>
    <w:p>
      <w:pPr>
        <w:pStyle w:val="BodyText"/>
        <w:spacing w:before="10"/>
        <w:rPr>
          <w:sz w:val="20"/>
        </w:rPr>
      </w:pPr>
    </w:p>
    <w:p>
      <w:pPr>
        <w:pStyle w:val="Heading1"/>
        <w:numPr>
          <w:ilvl w:val="1"/>
          <w:numId w:val="4"/>
        </w:numPr>
        <w:tabs>
          <w:tab w:pos="871" w:val="left" w:leader="none"/>
        </w:tabs>
        <w:spacing w:line="240" w:lineRule="auto" w:before="1" w:after="0"/>
        <w:ind w:left="870" w:right="0" w:hanging="591"/>
        <w:jc w:val="left"/>
      </w:pPr>
      <w:bookmarkStart w:name="_TOC_250046" w:id="6"/>
      <w:r>
        <w:rPr/>
        <w:t>Discharge Category</w:t>
      </w:r>
      <w:r>
        <w:rPr>
          <w:spacing w:val="1"/>
        </w:rPr>
        <w:t> </w:t>
      </w:r>
      <w:bookmarkEnd w:id="6"/>
      <w:r>
        <w:rPr/>
        <w:t>Description.</w:t>
      </w:r>
    </w:p>
    <w:p>
      <w:pPr>
        <w:pStyle w:val="BodyText"/>
        <w:spacing w:before="11"/>
        <w:rPr>
          <w:b/>
          <w:sz w:val="23"/>
        </w:rPr>
      </w:pPr>
    </w:p>
    <w:p>
      <w:pPr>
        <w:pStyle w:val="BodyText"/>
        <w:ind w:left="870" w:right="1059"/>
      </w:pPr>
      <w:r>
        <w:rPr/>
        <w:t>Discharges covered under this General Permit include stormwater runoff and authorized NSWDs from unpermitted CII sites with five (5) or more acres of impervious cover and permitted CII sites with five (5) or more acres of total area in the Dominguez Channel/Inner and Outer Los Angeles and Long Beach Harbor Watershed and the Los Cerritos Channel/Alamitos Bay Watershed (Discharges).</w:t>
      </w:r>
    </w:p>
    <w:p>
      <w:pPr>
        <w:pStyle w:val="BodyText"/>
        <w:spacing w:before="9"/>
        <w:rPr>
          <w:sz w:val="20"/>
        </w:rPr>
      </w:pPr>
    </w:p>
    <w:p>
      <w:pPr>
        <w:pStyle w:val="Heading1"/>
        <w:numPr>
          <w:ilvl w:val="1"/>
          <w:numId w:val="4"/>
        </w:numPr>
        <w:tabs>
          <w:tab w:pos="871" w:val="left" w:leader="none"/>
        </w:tabs>
        <w:spacing w:line="240" w:lineRule="auto" w:before="0" w:after="0"/>
        <w:ind w:left="870" w:right="0" w:hanging="591"/>
        <w:jc w:val="left"/>
      </w:pPr>
      <w:bookmarkStart w:name="_TOC_250045" w:id="7"/>
      <w:r>
        <w:rPr/>
        <w:t>Notification of Interested</w:t>
      </w:r>
      <w:r>
        <w:rPr>
          <w:spacing w:val="-1"/>
        </w:rPr>
        <w:t> </w:t>
      </w:r>
      <w:bookmarkEnd w:id="7"/>
      <w:r>
        <w:rPr/>
        <w:t>Parties.</w:t>
      </w:r>
    </w:p>
    <w:p>
      <w:pPr>
        <w:pStyle w:val="BodyText"/>
        <w:rPr>
          <w:b/>
        </w:rPr>
      </w:pPr>
    </w:p>
    <w:p>
      <w:pPr>
        <w:pStyle w:val="BodyText"/>
        <w:ind w:left="870" w:right="1073"/>
      </w:pPr>
      <w:r>
        <w:rPr/>
        <w:t>In accordance with State and federal laws and regulations, the Los Angeles Water Board has notified interested agencies and persons of its intent to prescribe WDRs for the discharges authorized by this Order and has provided them with an opportunity to submit their written and oral comments. Details of the notification are provided in the Fact Sheet (Attachment F) of this General</w:t>
      </w:r>
      <w:r>
        <w:rPr>
          <w:spacing w:val="-13"/>
        </w:rPr>
        <w:t> </w:t>
      </w:r>
      <w:r>
        <w:rPr/>
        <w:t>Permit.</w:t>
      </w:r>
    </w:p>
    <w:p>
      <w:pPr>
        <w:pStyle w:val="BodyText"/>
        <w:spacing w:before="10"/>
        <w:rPr>
          <w:sz w:val="20"/>
        </w:rPr>
      </w:pPr>
    </w:p>
    <w:p>
      <w:pPr>
        <w:pStyle w:val="Heading1"/>
        <w:numPr>
          <w:ilvl w:val="1"/>
          <w:numId w:val="4"/>
        </w:numPr>
        <w:tabs>
          <w:tab w:pos="871" w:val="left" w:leader="none"/>
        </w:tabs>
        <w:spacing w:line="240" w:lineRule="auto" w:before="0" w:after="0"/>
        <w:ind w:left="870" w:right="0" w:hanging="591"/>
        <w:jc w:val="left"/>
      </w:pPr>
      <w:bookmarkStart w:name="_TOC_250044" w:id="8"/>
      <w:r>
        <w:rPr/>
        <w:t>Consideration of Public</w:t>
      </w:r>
      <w:r>
        <w:rPr>
          <w:spacing w:val="-1"/>
        </w:rPr>
        <w:t> </w:t>
      </w:r>
      <w:bookmarkEnd w:id="8"/>
      <w:r>
        <w:rPr/>
        <w:t>Comment.</w:t>
      </w:r>
    </w:p>
    <w:p>
      <w:pPr>
        <w:pStyle w:val="BodyText"/>
        <w:rPr>
          <w:b/>
        </w:rPr>
      </w:pPr>
    </w:p>
    <w:p>
      <w:pPr>
        <w:pStyle w:val="BodyText"/>
        <w:ind w:left="870" w:right="1035"/>
      </w:pPr>
      <w:r>
        <w:rPr/>
        <w:t>The Los Angeles Water Board, in a public meeting, heard and considered all oral and written comments pertaining to the discharges authorized by this Order and the requirements contained herein. The Los Angeles Water Board has prepared written responses to all timely comments on the draft permit, which are included in</w:t>
      </w:r>
    </w:p>
    <w:p>
      <w:pPr>
        <w:spacing w:after="0"/>
        <w:sectPr>
          <w:pgSz w:w="12240" w:h="15840"/>
          <w:pgMar w:header="728" w:footer="788" w:top="1540" w:bottom="980" w:left="1160" w:right="420"/>
        </w:sectPr>
      </w:pPr>
    </w:p>
    <w:p>
      <w:pPr>
        <w:pStyle w:val="BodyText"/>
        <w:spacing w:before="11"/>
        <w:rPr>
          <w:sz w:val="15"/>
        </w:rPr>
      </w:pPr>
    </w:p>
    <w:p>
      <w:pPr>
        <w:pStyle w:val="BodyText"/>
        <w:spacing w:before="92"/>
        <w:ind w:left="870" w:right="1059"/>
      </w:pPr>
      <w:r>
        <w:rPr/>
        <w:t>the Administrative Record for this Order. Details of the public hearing are provided in the Fact Sheet (Attachment F) of this General Permit.</w:t>
      </w:r>
    </w:p>
    <w:p>
      <w:pPr>
        <w:pStyle w:val="BodyText"/>
        <w:spacing w:before="10"/>
        <w:rPr>
          <w:sz w:val="20"/>
        </w:rPr>
      </w:pPr>
    </w:p>
    <w:p>
      <w:pPr>
        <w:pStyle w:val="Heading1"/>
        <w:numPr>
          <w:ilvl w:val="0"/>
          <w:numId w:val="4"/>
        </w:numPr>
        <w:tabs>
          <w:tab w:pos="640" w:val="left" w:leader="none"/>
        </w:tabs>
        <w:spacing w:line="240" w:lineRule="auto" w:before="0" w:after="0"/>
        <w:ind w:left="639" w:right="0" w:hanging="361"/>
        <w:jc w:val="left"/>
      </w:pPr>
      <w:r>
        <w:rPr/>
        <w:t>GENERAL PERMIT</w:t>
      </w:r>
      <w:r>
        <w:rPr>
          <w:spacing w:val="1"/>
        </w:rPr>
        <w:t> </w:t>
      </w:r>
      <w:r>
        <w:rPr/>
        <w:t>COVERAGE.</w:t>
      </w:r>
    </w:p>
    <w:p>
      <w:pPr>
        <w:pStyle w:val="BodyText"/>
        <w:spacing w:before="10"/>
        <w:rPr>
          <w:b/>
          <w:sz w:val="20"/>
        </w:rPr>
      </w:pPr>
    </w:p>
    <w:p>
      <w:pPr>
        <w:pStyle w:val="Heading1"/>
        <w:numPr>
          <w:ilvl w:val="1"/>
          <w:numId w:val="4"/>
        </w:numPr>
        <w:tabs>
          <w:tab w:pos="871" w:val="left" w:leader="none"/>
        </w:tabs>
        <w:spacing w:line="240" w:lineRule="auto" w:before="0" w:after="0"/>
        <w:ind w:left="870" w:right="0" w:hanging="592"/>
        <w:jc w:val="left"/>
      </w:pPr>
      <w:bookmarkStart w:name="_TOC_250043" w:id="9"/>
      <w:bookmarkEnd w:id="9"/>
      <w:r>
        <w:rPr/>
        <w:t>Applicability.</w:t>
      </w:r>
    </w:p>
    <w:p>
      <w:pPr>
        <w:pStyle w:val="BodyText"/>
        <w:spacing w:before="1"/>
        <w:rPr>
          <w:b/>
          <w:sz w:val="21"/>
        </w:rPr>
      </w:pPr>
    </w:p>
    <w:p>
      <w:pPr>
        <w:pStyle w:val="ListParagraph"/>
        <w:numPr>
          <w:ilvl w:val="2"/>
          <w:numId w:val="4"/>
        </w:numPr>
        <w:tabs>
          <w:tab w:pos="1100" w:val="left" w:leader="none"/>
          <w:tab w:pos="1101" w:val="left" w:leader="none"/>
        </w:tabs>
        <w:spacing w:line="237" w:lineRule="auto" w:before="0" w:after="0"/>
        <w:ind w:left="1100" w:right="1218" w:hanging="821"/>
        <w:jc w:val="left"/>
        <w:rPr>
          <w:sz w:val="24"/>
        </w:rPr>
      </w:pPr>
      <w:r>
        <w:rPr>
          <w:sz w:val="24"/>
        </w:rPr>
        <w:t>Discharges covered under this General Permit include stormwater and authorized NSWDs from privately owned</w:t>
      </w:r>
      <w:r>
        <w:rPr>
          <w:position w:val="8"/>
          <w:sz w:val="16"/>
        </w:rPr>
        <w:t>1 </w:t>
      </w:r>
      <w:r>
        <w:rPr>
          <w:sz w:val="24"/>
        </w:rPr>
        <w:t>CII sites</w:t>
      </w:r>
      <w:r>
        <w:rPr>
          <w:position w:val="8"/>
          <w:sz w:val="16"/>
        </w:rPr>
        <w:t>2 </w:t>
      </w:r>
      <w:r>
        <w:rPr>
          <w:sz w:val="24"/>
        </w:rPr>
        <w:t>in the Dominguez Channel/Inner and Outer Los Angeles and Long Beach Harbor Watershed and the Los Cerritos Channel/Alamitos Bay Watershed.</w:t>
      </w:r>
      <w:r>
        <w:rPr>
          <w:position w:val="8"/>
          <w:sz w:val="16"/>
        </w:rPr>
        <w:t>3 </w:t>
      </w:r>
      <w:r>
        <w:rPr>
          <w:sz w:val="24"/>
        </w:rPr>
        <w:t>This</w:t>
      </w:r>
      <w:r>
        <w:rPr>
          <w:spacing w:val="-35"/>
          <w:sz w:val="24"/>
        </w:rPr>
        <w:t> </w:t>
      </w:r>
      <w:r>
        <w:rPr>
          <w:sz w:val="24"/>
        </w:rPr>
        <w:t>includes:</w:t>
      </w:r>
    </w:p>
    <w:p>
      <w:pPr>
        <w:pStyle w:val="ListParagraph"/>
        <w:numPr>
          <w:ilvl w:val="3"/>
          <w:numId w:val="4"/>
        </w:numPr>
        <w:tabs>
          <w:tab w:pos="1359" w:val="left" w:leader="none"/>
          <w:tab w:pos="1361" w:val="left" w:leader="none"/>
        </w:tabs>
        <w:spacing w:line="240" w:lineRule="auto" w:before="239" w:after="0"/>
        <w:ind w:left="1360" w:right="0" w:hanging="1081"/>
        <w:jc w:val="left"/>
        <w:rPr>
          <w:sz w:val="24"/>
        </w:rPr>
      </w:pPr>
      <w:r>
        <w:rPr>
          <w:sz w:val="24"/>
        </w:rPr>
        <w:t>CII sites that are not covered by another NPDES stormwater permit with</w:t>
      </w:r>
      <w:r>
        <w:rPr>
          <w:spacing w:val="-16"/>
          <w:sz w:val="24"/>
        </w:rPr>
        <w:t> </w:t>
      </w:r>
      <w:r>
        <w:rPr>
          <w:sz w:val="24"/>
        </w:rPr>
        <w:t>five</w:t>
      </w:r>
    </w:p>
    <w:p>
      <w:pPr>
        <w:pStyle w:val="BodyText"/>
        <w:ind w:left="1360"/>
      </w:pPr>
      <w:r>
        <w:rPr/>
        <w:t>(5) or more acres of impervious surface.</w:t>
      </w:r>
    </w:p>
    <w:p>
      <w:pPr>
        <w:pStyle w:val="BodyText"/>
        <w:spacing w:before="10"/>
        <w:rPr>
          <w:sz w:val="20"/>
        </w:rPr>
      </w:pPr>
    </w:p>
    <w:p>
      <w:pPr>
        <w:pStyle w:val="ListParagraph"/>
        <w:numPr>
          <w:ilvl w:val="3"/>
          <w:numId w:val="4"/>
        </w:numPr>
        <w:tabs>
          <w:tab w:pos="1359" w:val="left" w:leader="none"/>
          <w:tab w:pos="1361" w:val="left" w:leader="none"/>
        </w:tabs>
        <w:spacing w:line="240" w:lineRule="auto" w:before="0" w:after="0"/>
        <w:ind w:left="1360" w:right="1252" w:hanging="1080"/>
        <w:jc w:val="left"/>
        <w:rPr>
          <w:sz w:val="24"/>
        </w:rPr>
      </w:pPr>
      <w:r>
        <w:rPr>
          <w:sz w:val="24"/>
        </w:rPr>
        <w:t>CII sites that are covered by another NPDES stormwater permit with five (5) or more acres of total area,</w:t>
      </w:r>
      <w:r>
        <w:rPr>
          <w:spacing w:val="-2"/>
          <w:sz w:val="24"/>
        </w:rPr>
        <w:t> </w:t>
      </w:r>
      <w:r>
        <w:rPr>
          <w:sz w:val="24"/>
        </w:rPr>
        <w:t>including:</w:t>
      </w:r>
    </w:p>
    <w:p>
      <w:pPr>
        <w:pStyle w:val="BodyText"/>
        <w:spacing w:before="10"/>
        <w:rPr>
          <w:sz w:val="20"/>
        </w:rPr>
      </w:pPr>
    </w:p>
    <w:p>
      <w:pPr>
        <w:pStyle w:val="ListParagraph"/>
        <w:numPr>
          <w:ilvl w:val="4"/>
          <w:numId w:val="4"/>
        </w:numPr>
        <w:tabs>
          <w:tab w:pos="1574" w:val="left" w:leader="none"/>
          <w:tab w:pos="1576" w:val="left" w:leader="none"/>
        </w:tabs>
        <w:spacing w:line="240" w:lineRule="auto" w:before="0" w:after="0"/>
        <w:ind w:left="1575" w:right="1050" w:hanging="1296"/>
        <w:jc w:val="left"/>
        <w:rPr>
          <w:sz w:val="24"/>
        </w:rPr>
      </w:pPr>
      <w:r>
        <w:rPr>
          <w:sz w:val="24"/>
        </w:rPr>
        <w:t>Facilities that have submitted a no exposure certification (NEC) under the General Permit for Stormwater Discharges Associated with Industrial Activities (NPDES No. CAS000001; Order 2014-0057-DWQ by Order 2015- 0122-DWQ &amp; Order 20XX-XXXX-DWQ) (IGP). These facilities must obtain coverage under this General Permit for the acreage covered by the</w:t>
      </w:r>
      <w:r>
        <w:rPr>
          <w:spacing w:val="-25"/>
          <w:sz w:val="24"/>
        </w:rPr>
        <w:t> </w:t>
      </w:r>
      <w:r>
        <w:rPr>
          <w:sz w:val="24"/>
        </w:rPr>
        <w:t>NEC.</w:t>
      </w:r>
    </w:p>
    <w:p>
      <w:pPr>
        <w:pStyle w:val="BodyText"/>
        <w:spacing w:before="10"/>
        <w:rPr>
          <w:sz w:val="20"/>
        </w:rPr>
      </w:pPr>
    </w:p>
    <w:p>
      <w:pPr>
        <w:pStyle w:val="ListParagraph"/>
        <w:numPr>
          <w:ilvl w:val="4"/>
          <w:numId w:val="4"/>
        </w:numPr>
        <w:tabs>
          <w:tab w:pos="1575" w:val="left" w:leader="none"/>
        </w:tabs>
        <w:spacing w:line="240" w:lineRule="auto" w:before="0" w:after="0"/>
        <w:ind w:left="1575" w:right="1025" w:hanging="1296"/>
        <w:jc w:val="both"/>
        <w:rPr>
          <w:sz w:val="24"/>
        </w:rPr>
      </w:pPr>
      <w:r>
        <w:rPr>
          <w:sz w:val="24"/>
        </w:rPr>
        <w:t>Facilities that have submitted a notice of non-applicability (NONA) under the IGP. These facilities must obtain coverage under this General Permit for the acreage not covered by the</w:t>
      </w:r>
      <w:r>
        <w:rPr>
          <w:spacing w:val="-2"/>
          <w:sz w:val="24"/>
        </w:rPr>
        <w:t> </w:t>
      </w:r>
      <w:r>
        <w:rPr>
          <w:sz w:val="24"/>
        </w:rPr>
        <w:t>NONA.</w:t>
      </w:r>
    </w:p>
    <w:p>
      <w:pPr>
        <w:pStyle w:val="BodyText"/>
        <w:spacing w:before="10"/>
        <w:rPr>
          <w:sz w:val="20"/>
        </w:rPr>
      </w:pPr>
    </w:p>
    <w:p>
      <w:pPr>
        <w:pStyle w:val="ListParagraph"/>
        <w:numPr>
          <w:ilvl w:val="4"/>
          <w:numId w:val="4"/>
        </w:numPr>
        <w:tabs>
          <w:tab w:pos="1575" w:val="left" w:leader="none"/>
        </w:tabs>
        <w:spacing w:line="240" w:lineRule="auto" w:before="0" w:after="0"/>
        <w:ind w:left="1575" w:right="1036" w:hanging="1296"/>
        <w:jc w:val="both"/>
        <w:rPr>
          <w:sz w:val="24"/>
        </w:rPr>
      </w:pPr>
      <w:r>
        <w:rPr>
          <w:sz w:val="24"/>
        </w:rPr>
        <w:t>Any facility where only a portion of the facility is covered by another NPDES stormwater permit. These facilities must obtain coverage under this General Permit for the remaining portion of the</w:t>
      </w:r>
      <w:r>
        <w:rPr>
          <w:spacing w:val="-4"/>
          <w:sz w:val="24"/>
        </w:rPr>
        <w:t> </w:t>
      </w:r>
      <w:r>
        <w:rPr>
          <w:sz w:val="24"/>
        </w:rPr>
        <w:t>facility.</w:t>
      </w:r>
    </w:p>
    <w:p>
      <w:pPr>
        <w:pStyle w:val="BodyText"/>
        <w:spacing w:before="9"/>
        <w:rPr>
          <w:sz w:val="20"/>
        </w:rPr>
      </w:pPr>
    </w:p>
    <w:p>
      <w:pPr>
        <w:pStyle w:val="BodyText"/>
        <w:tabs>
          <w:tab w:pos="1100" w:val="left" w:leader="none"/>
        </w:tabs>
        <w:ind w:left="1100" w:right="1258" w:hanging="821"/>
      </w:pPr>
      <w:r>
        <w:rPr/>
        <w:t>3.1.2.</w:t>
        <w:tab/>
        <w:t>If an individual NPDES permit with more specific and stringent requirements is issued to the Discharger for a discharge covered under this Order, the applicability of this Order to that discharge shall automatically terminate upon the effective date of the individual</w:t>
      </w:r>
      <w:r>
        <w:rPr>
          <w:spacing w:val="-3"/>
        </w:rPr>
        <w:t> </w:t>
      </w:r>
      <w:r>
        <w:rPr/>
        <w:t>permit.</w:t>
      </w:r>
    </w:p>
    <w:p>
      <w:pPr>
        <w:pStyle w:val="BodyText"/>
        <w:rPr>
          <w:sz w:val="20"/>
        </w:rPr>
      </w:pPr>
    </w:p>
    <w:p>
      <w:pPr>
        <w:pStyle w:val="BodyText"/>
        <w:rPr>
          <w:sz w:val="20"/>
        </w:rPr>
      </w:pPr>
    </w:p>
    <w:p>
      <w:pPr>
        <w:pStyle w:val="BodyText"/>
        <w:spacing w:before="8"/>
        <w:rPr>
          <w:sz w:val="19"/>
        </w:rPr>
      </w:pPr>
      <w:r>
        <w:rPr/>
        <w:pict>
          <v:shape style="position:absolute;margin-left:72pt;margin-top:13.615073pt;width:144pt;height:.1pt;mso-position-horizontal-relative:page;mso-position-vertical-relative:paragraph;z-index:-251657216;mso-wrap-distance-left:0;mso-wrap-distance-right:0" coordorigin="1440,272" coordsize="2880,0" path="m1440,272l4320,272e" filled="false" stroked="true" strokeweight=".600010pt" strokecolor="#000000">
            <v:path arrowok="t"/>
            <v:stroke dashstyle="solid"/>
            <w10:wrap type="topAndBottom"/>
          </v:shape>
        </w:pict>
      </w:r>
    </w:p>
    <w:p>
      <w:pPr>
        <w:pStyle w:val="BodyText"/>
        <w:rPr>
          <w:sz w:val="20"/>
        </w:rPr>
      </w:pPr>
    </w:p>
    <w:p>
      <w:pPr>
        <w:pStyle w:val="BodyText"/>
        <w:spacing w:before="6"/>
        <w:rPr>
          <w:sz w:val="22"/>
        </w:rPr>
      </w:pPr>
    </w:p>
    <w:p>
      <w:pPr>
        <w:spacing w:before="95"/>
        <w:ind w:left="280" w:right="0" w:firstLine="0"/>
        <w:jc w:val="left"/>
        <w:rPr>
          <w:sz w:val="20"/>
        </w:rPr>
      </w:pPr>
      <w:r>
        <w:rPr>
          <w:position w:val="7"/>
          <w:sz w:val="13"/>
        </w:rPr>
        <w:t>1 </w:t>
      </w:r>
      <w:r>
        <w:rPr>
          <w:sz w:val="20"/>
        </w:rPr>
        <w:t>In addition, this General Permit is applicable to publicly owned (and privately operated) CII sites with five</w:t>
      </w:r>
    </w:p>
    <w:p>
      <w:pPr>
        <w:pStyle w:val="ListParagraph"/>
        <w:numPr>
          <w:ilvl w:val="0"/>
          <w:numId w:val="5"/>
        </w:numPr>
        <w:tabs>
          <w:tab w:pos="581" w:val="left" w:leader="none"/>
        </w:tabs>
        <w:spacing w:line="227" w:lineRule="exact" w:before="0" w:after="0"/>
        <w:ind w:left="580" w:right="0" w:hanging="302"/>
        <w:jc w:val="left"/>
        <w:rPr>
          <w:sz w:val="20"/>
        </w:rPr>
      </w:pPr>
      <w:r>
        <w:rPr>
          <w:sz w:val="20"/>
        </w:rPr>
        <w:t>or more acres of total area at the Ports of Los Angeles and Long</w:t>
      </w:r>
      <w:r>
        <w:rPr>
          <w:spacing w:val="-16"/>
          <w:sz w:val="20"/>
        </w:rPr>
        <w:t> </w:t>
      </w:r>
      <w:r>
        <w:rPr>
          <w:sz w:val="20"/>
        </w:rPr>
        <w:t>Beach.</w:t>
      </w:r>
    </w:p>
    <w:p>
      <w:pPr>
        <w:spacing w:line="240" w:lineRule="auto" w:before="0"/>
        <w:ind w:left="279" w:right="1071" w:firstLine="0"/>
        <w:jc w:val="left"/>
        <w:rPr>
          <w:sz w:val="20"/>
        </w:rPr>
      </w:pPr>
      <w:r>
        <w:rPr>
          <w:position w:val="7"/>
          <w:sz w:val="13"/>
        </w:rPr>
        <w:t>2 </w:t>
      </w:r>
      <w:r>
        <w:rPr>
          <w:sz w:val="20"/>
        </w:rPr>
        <w:t>Commercial, institutional, and industrial land use types are based on the Los Angeles County Assessor’s Office property use classification codes 1000 through 2900, 3000 through 3920, 6000</w:t>
      </w:r>
      <w:r>
        <w:rPr>
          <w:spacing w:val="-30"/>
          <w:sz w:val="20"/>
        </w:rPr>
        <w:t> </w:t>
      </w:r>
      <w:r>
        <w:rPr>
          <w:sz w:val="20"/>
        </w:rPr>
        <w:t>through</w:t>
      </w:r>
    </w:p>
    <w:p>
      <w:pPr>
        <w:spacing w:before="0"/>
        <w:ind w:left="279" w:right="1298" w:firstLine="0"/>
        <w:jc w:val="left"/>
        <w:rPr>
          <w:sz w:val="20"/>
        </w:rPr>
      </w:pPr>
      <w:r>
        <w:rPr>
          <w:sz w:val="20"/>
        </w:rPr>
        <w:t>6910, 7000 through 7710, and 8100 through 8400 (8100 through 8900 at the Ports of Los Angeles and Long Beach).</w:t>
      </w:r>
    </w:p>
    <w:p>
      <w:pPr>
        <w:spacing w:line="230" w:lineRule="exact" w:before="0"/>
        <w:ind w:left="280" w:right="0" w:firstLine="0"/>
        <w:jc w:val="left"/>
        <w:rPr>
          <w:sz w:val="20"/>
        </w:rPr>
      </w:pPr>
      <w:r>
        <w:rPr>
          <w:position w:val="7"/>
          <w:sz w:val="13"/>
        </w:rPr>
        <w:t>3 </w:t>
      </w:r>
      <w:r>
        <w:rPr>
          <w:sz w:val="20"/>
        </w:rPr>
        <w:t>This General Permit is not applicable to CII sites at airports.</w:t>
      </w:r>
    </w:p>
    <w:p>
      <w:pPr>
        <w:spacing w:after="0" w:line="230" w:lineRule="exact"/>
        <w:jc w:val="left"/>
        <w:rPr>
          <w:sz w:val="20"/>
        </w:rPr>
        <w:sectPr>
          <w:pgSz w:w="12240" w:h="15840"/>
          <w:pgMar w:header="728" w:footer="788" w:top="1540" w:bottom="980" w:left="1160" w:right="420"/>
        </w:sectPr>
      </w:pPr>
    </w:p>
    <w:p>
      <w:pPr>
        <w:pStyle w:val="BodyText"/>
        <w:spacing w:before="11"/>
        <w:rPr>
          <w:sz w:val="15"/>
        </w:rPr>
      </w:pPr>
    </w:p>
    <w:p>
      <w:pPr>
        <w:pStyle w:val="Heading1"/>
        <w:numPr>
          <w:ilvl w:val="1"/>
          <w:numId w:val="6"/>
        </w:numPr>
        <w:tabs>
          <w:tab w:pos="871" w:val="left" w:leader="none"/>
        </w:tabs>
        <w:spacing w:line="240" w:lineRule="auto" w:before="92" w:after="0"/>
        <w:ind w:left="870" w:right="0" w:hanging="591"/>
        <w:jc w:val="left"/>
      </w:pPr>
      <w:r>
        <w:rPr/>
        <w:t>Permit Registration</w:t>
      </w:r>
      <w:r>
        <w:rPr>
          <w:spacing w:val="-3"/>
        </w:rPr>
        <w:t> </w:t>
      </w:r>
      <w:r>
        <w:rPr/>
        <w:t>Documents.</w:t>
      </w:r>
    </w:p>
    <w:p>
      <w:pPr>
        <w:pStyle w:val="BodyText"/>
        <w:rPr>
          <w:b/>
        </w:rPr>
      </w:pPr>
    </w:p>
    <w:p>
      <w:pPr>
        <w:pStyle w:val="BodyText"/>
        <w:ind w:left="870" w:right="1058"/>
      </w:pPr>
      <w:r>
        <w:rPr/>
        <w:t>To be authorized to discharge under this General Permit, the Discharger shall certify and submit Permit Registration Documents, consisting of a Notice of Intent (NOI), a site-specific Stormwater Pollution Prevention Plan (SWPPP) and Compliance Option Documents for the applicable compliance option, as described in section 8 of this Order, and the annual fee via the Stormwater Multiple Application and Report Tracking System (SMARTS).</w:t>
      </w:r>
      <w:r>
        <w:rPr>
          <w:position w:val="8"/>
          <w:sz w:val="16"/>
        </w:rPr>
        <w:t>4</w:t>
      </w:r>
      <w:r>
        <w:rPr/>
        <w:t>:</w:t>
      </w:r>
    </w:p>
    <w:p>
      <w:pPr>
        <w:pStyle w:val="Heading1"/>
        <w:numPr>
          <w:ilvl w:val="2"/>
          <w:numId w:val="6"/>
        </w:numPr>
        <w:tabs>
          <w:tab w:pos="1100" w:val="left" w:leader="none"/>
          <w:tab w:pos="1101" w:val="left" w:leader="none"/>
        </w:tabs>
        <w:spacing w:line="240" w:lineRule="auto" w:before="235" w:after="0"/>
        <w:ind w:left="1100" w:right="1569" w:hanging="821"/>
        <w:jc w:val="left"/>
      </w:pPr>
      <w:bookmarkStart w:name="_TOC_250042" w:id="10"/>
      <w:r>
        <w:rPr/>
        <w:t>Compliance Option 1 – Agreement with Local Watershed Management Group to Fund Regional</w:t>
      </w:r>
      <w:r>
        <w:rPr>
          <w:spacing w:val="-1"/>
        </w:rPr>
        <w:t> </w:t>
      </w:r>
      <w:bookmarkEnd w:id="10"/>
      <w:r>
        <w:rPr/>
        <w:t>Project.</w:t>
      </w:r>
    </w:p>
    <w:p>
      <w:pPr>
        <w:pStyle w:val="BodyText"/>
        <w:spacing w:before="10"/>
        <w:rPr>
          <w:b/>
          <w:sz w:val="20"/>
        </w:rPr>
      </w:pPr>
    </w:p>
    <w:p>
      <w:pPr>
        <w:pStyle w:val="ListParagraph"/>
        <w:numPr>
          <w:ilvl w:val="3"/>
          <w:numId w:val="6"/>
        </w:numPr>
        <w:tabs>
          <w:tab w:pos="1358" w:val="left" w:leader="none"/>
          <w:tab w:pos="1359" w:val="left" w:leader="none"/>
        </w:tabs>
        <w:spacing w:line="240" w:lineRule="auto" w:before="1" w:after="0"/>
        <w:ind w:left="1358" w:right="0" w:hanging="1079"/>
        <w:jc w:val="left"/>
        <w:rPr>
          <w:sz w:val="24"/>
        </w:rPr>
      </w:pPr>
      <w:r>
        <w:rPr>
          <w:sz w:val="24"/>
        </w:rPr>
        <w:t>A completed NOI and Signed Electronic Authorization</w:t>
      </w:r>
      <w:r>
        <w:rPr>
          <w:spacing w:val="-6"/>
          <w:sz w:val="24"/>
        </w:rPr>
        <w:t> </w:t>
      </w:r>
      <w:r>
        <w:rPr>
          <w:sz w:val="24"/>
        </w:rPr>
        <w:t>Form;</w:t>
      </w:r>
    </w:p>
    <w:p>
      <w:pPr>
        <w:pStyle w:val="BodyText"/>
        <w:spacing w:before="9"/>
        <w:rPr>
          <w:sz w:val="20"/>
        </w:rPr>
      </w:pPr>
    </w:p>
    <w:p>
      <w:pPr>
        <w:pStyle w:val="ListParagraph"/>
        <w:numPr>
          <w:ilvl w:val="3"/>
          <w:numId w:val="6"/>
        </w:numPr>
        <w:tabs>
          <w:tab w:pos="1358" w:val="left" w:leader="none"/>
          <w:tab w:pos="1359" w:val="left" w:leader="none"/>
        </w:tabs>
        <w:spacing w:line="240" w:lineRule="auto" w:before="1" w:after="0"/>
        <w:ind w:left="1360" w:right="1258" w:hanging="1080"/>
        <w:jc w:val="left"/>
        <w:rPr>
          <w:sz w:val="24"/>
        </w:rPr>
      </w:pPr>
      <w:r>
        <w:rPr>
          <w:sz w:val="24"/>
        </w:rPr>
        <w:t>A site-specific SWPPP that meets the minimum requirements established</w:t>
      </w:r>
      <w:r>
        <w:rPr>
          <w:spacing w:val="-47"/>
          <w:sz w:val="24"/>
        </w:rPr>
        <w:t> </w:t>
      </w:r>
      <w:r>
        <w:rPr>
          <w:sz w:val="24"/>
        </w:rPr>
        <w:t>in section 6 of this Order;</w:t>
      </w:r>
      <w:r>
        <w:rPr>
          <w:spacing w:val="-2"/>
          <w:sz w:val="24"/>
        </w:rPr>
        <w:t> </w:t>
      </w:r>
      <w:r>
        <w:rPr>
          <w:sz w:val="24"/>
        </w:rPr>
        <w:t>and</w:t>
      </w:r>
    </w:p>
    <w:p>
      <w:pPr>
        <w:pStyle w:val="BodyText"/>
        <w:spacing w:before="9"/>
        <w:rPr>
          <w:sz w:val="20"/>
        </w:rPr>
      </w:pPr>
    </w:p>
    <w:p>
      <w:pPr>
        <w:pStyle w:val="ListParagraph"/>
        <w:numPr>
          <w:ilvl w:val="3"/>
          <w:numId w:val="6"/>
        </w:numPr>
        <w:tabs>
          <w:tab w:pos="1358" w:val="left" w:leader="none"/>
          <w:tab w:pos="1359" w:val="left" w:leader="none"/>
        </w:tabs>
        <w:spacing w:line="240" w:lineRule="auto" w:before="1" w:after="0"/>
        <w:ind w:left="1358" w:right="0" w:hanging="1079"/>
        <w:jc w:val="left"/>
        <w:rPr>
          <w:sz w:val="24"/>
        </w:rPr>
      </w:pPr>
      <w:r>
        <w:rPr>
          <w:sz w:val="24"/>
        </w:rPr>
        <w:t>Compliance Option Documents consisting of the</w:t>
      </w:r>
      <w:r>
        <w:rPr>
          <w:spacing w:val="-3"/>
          <w:sz w:val="24"/>
        </w:rPr>
        <w:t> </w:t>
      </w:r>
      <w:r>
        <w:rPr>
          <w:sz w:val="24"/>
        </w:rPr>
        <w:t>following:</w:t>
      </w:r>
    </w:p>
    <w:p>
      <w:pPr>
        <w:pStyle w:val="BodyText"/>
        <w:spacing w:before="9"/>
        <w:rPr>
          <w:sz w:val="20"/>
        </w:rPr>
      </w:pPr>
    </w:p>
    <w:p>
      <w:pPr>
        <w:pStyle w:val="ListParagraph"/>
        <w:numPr>
          <w:ilvl w:val="4"/>
          <w:numId w:val="6"/>
        </w:numPr>
        <w:tabs>
          <w:tab w:pos="1574" w:val="left" w:leader="none"/>
          <w:tab w:pos="1575" w:val="left" w:leader="none"/>
        </w:tabs>
        <w:spacing w:line="240" w:lineRule="auto" w:before="1" w:after="0"/>
        <w:ind w:left="1576" w:right="1048" w:hanging="1296"/>
        <w:jc w:val="left"/>
        <w:rPr>
          <w:sz w:val="24"/>
        </w:rPr>
      </w:pPr>
      <w:r>
        <w:rPr>
          <w:sz w:val="24"/>
        </w:rPr>
        <w:t>A copy of the agreement between the Discharger and the applicable local Watershed Management Group listed in Attachment H, Table H-1. The agreement must be signed by both the Discharger and the authorized representative for each member of the Watershed Management Group or the group’s fiduciary agent if the fiduciary agent is an authorized representative for each member of the Watershed Management Group, and meet the minimum requirements established in section 8.1 of this</w:t>
      </w:r>
      <w:r>
        <w:rPr>
          <w:spacing w:val="-28"/>
          <w:sz w:val="24"/>
        </w:rPr>
        <w:t> </w:t>
      </w:r>
      <w:r>
        <w:rPr>
          <w:sz w:val="24"/>
        </w:rPr>
        <w:t>Order.</w:t>
      </w:r>
    </w:p>
    <w:p>
      <w:pPr>
        <w:pStyle w:val="BodyText"/>
        <w:spacing w:before="8"/>
        <w:rPr>
          <w:sz w:val="20"/>
        </w:rPr>
      </w:pPr>
    </w:p>
    <w:p>
      <w:pPr>
        <w:pStyle w:val="ListParagraph"/>
        <w:numPr>
          <w:ilvl w:val="4"/>
          <w:numId w:val="6"/>
        </w:numPr>
        <w:tabs>
          <w:tab w:pos="1574" w:val="left" w:leader="none"/>
          <w:tab w:pos="1575" w:val="left" w:leader="none"/>
        </w:tabs>
        <w:spacing w:line="240" w:lineRule="auto" w:before="1" w:after="0"/>
        <w:ind w:left="1576" w:right="1372" w:hanging="1296"/>
        <w:jc w:val="left"/>
        <w:rPr>
          <w:sz w:val="24"/>
        </w:rPr>
      </w:pPr>
      <w:r>
        <w:rPr>
          <w:sz w:val="24"/>
        </w:rPr>
        <w:t>An updated SWPPP, as appropriate, that includes the compliance option selected and any tasks associated with the selected</w:t>
      </w:r>
      <w:r>
        <w:rPr>
          <w:spacing w:val="-10"/>
          <w:sz w:val="24"/>
        </w:rPr>
        <w:t> </w:t>
      </w:r>
      <w:r>
        <w:rPr>
          <w:sz w:val="24"/>
        </w:rPr>
        <w:t>option.</w:t>
      </w:r>
    </w:p>
    <w:p>
      <w:pPr>
        <w:pStyle w:val="BodyText"/>
        <w:spacing w:before="10"/>
        <w:rPr>
          <w:sz w:val="20"/>
        </w:rPr>
      </w:pPr>
    </w:p>
    <w:p>
      <w:pPr>
        <w:pStyle w:val="Heading1"/>
        <w:numPr>
          <w:ilvl w:val="2"/>
          <w:numId w:val="6"/>
        </w:numPr>
        <w:tabs>
          <w:tab w:pos="1100" w:val="left" w:leader="none"/>
          <w:tab w:pos="1101" w:val="left" w:leader="none"/>
        </w:tabs>
        <w:spacing w:line="240" w:lineRule="auto" w:before="0" w:after="0"/>
        <w:ind w:left="1100" w:right="1864" w:hanging="821"/>
        <w:jc w:val="left"/>
      </w:pPr>
      <w:bookmarkStart w:name="_TOC_250041" w:id="11"/>
      <w:r>
        <w:rPr/>
        <w:t>Compliance Option 2 – Facility-Specific Design Standard to</w:t>
      </w:r>
      <w:r>
        <w:rPr>
          <w:spacing w:val="-45"/>
        </w:rPr>
        <w:t> </w:t>
      </w:r>
      <w:r>
        <w:rPr/>
        <w:t>Reduce Stormwater</w:t>
      </w:r>
      <w:r>
        <w:rPr>
          <w:spacing w:val="-1"/>
        </w:rPr>
        <w:t> </w:t>
      </w:r>
      <w:bookmarkEnd w:id="11"/>
      <w:r>
        <w:rPr/>
        <w:t>Runoff.</w:t>
      </w:r>
    </w:p>
    <w:p>
      <w:pPr>
        <w:pStyle w:val="BodyText"/>
        <w:spacing w:before="10"/>
        <w:rPr>
          <w:b/>
          <w:sz w:val="20"/>
        </w:rPr>
      </w:pPr>
    </w:p>
    <w:p>
      <w:pPr>
        <w:pStyle w:val="ListParagraph"/>
        <w:numPr>
          <w:ilvl w:val="3"/>
          <w:numId w:val="6"/>
        </w:numPr>
        <w:tabs>
          <w:tab w:pos="1358" w:val="left" w:leader="none"/>
          <w:tab w:pos="1359" w:val="left" w:leader="none"/>
        </w:tabs>
        <w:spacing w:line="240" w:lineRule="auto" w:before="0" w:after="0"/>
        <w:ind w:left="1358" w:right="0" w:hanging="1079"/>
        <w:jc w:val="left"/>
        <w:rPr>
          <w:sz w:val="24"/>
        </w:rPr>
      </w:pPr>
      <w:r>
        <w:rPr>
          <w:sz w:val="24"/>
        </w:rPr>
        <w:t>A completed NOI and Signed Electronic Authorization</w:t>
      </w:r>
      <w:r>
        <w:rPr>
          <w:spacing w:val="-6"/>
          <w:sz w:val="24"/>
        </w:rPr>
        <w:t> </w:t>
      </w:r>
      <w:r>
        <w:rPr>
          <w:sz w:val="24"/>
        </w:rPr>
        <w:t>Form;</w:t>
      </w:r>
    </w:p>
    <w:p>
      <w:pPr>
        <w:pStyle w:val="BodyText"/>
        <w:rPr>
          <w:sz w:val="20"/>
        </w:rPr>
      </w:pPr>
    </w:p>
    <w:p>
      <w:pPr>
        <w:pStyle w:val="BodyText"/>
        <w:rPr>
          <w:sz w:val="20"/>
        </w:rPr>
      </w:pPr>
    </w:p>
    <w:p>
      <w:pPr>
        <w:pStyle w:val="BodyText"/>
        <w:rPr>
          <w:sz w:val="20"/>
        </w:rPr>
      </w:pPr>
    </w:p>
    <w:p>
      <w:pPr>
        <w:pStyle w:val="BodyText"/>
        <w:spacing w:before="8"/>
        <w:rPr>
          <w:sz w:val="19"/>
        </w:rPr>
      </w:pPr>
      <w:r>
        <w:rPr/>
        <w:pict>
          <v:shape style="position:absolute;margin-left:72pt;margin-top:13.604946pt;width:144pt;height:.1pt;mso-position-horizontal-relative:page;mso-position-vertical-relative:paragraph;z-index:-251656192;mso-wrap-distance-left:0;mso-wrap-distance-right:0" coordorigin="1440,272" coordsize="2880,0" path="m1440,272l4320,272e" filled="false" stroked="true" strokeweight=".600010pt" strokecolor="#000000">
            <v:path arrowok="t"/>
            <v:stroke dashstyle="solid"/>
            <w10:wrap type="topAndBottom"/>
          </v:shape>
        </w:pict>
      </w:r>
    </w:p>
    <w:p>
      <w:pPr>
        <w:pStyle w:val="BodyText"/>
        <w:rPr>
          <w:sz w:val="20"/>
        </w:rPr>
      </w:pPr>
    </w:p>
    <w:p>
      <w:pPr>
        <w:pStyle w:val="BodyText"/>
        <w:spacing w:before="5"/>
        <w:rPr>
          <w:sz w:val="22"/>
        </w:rPr>
      </w:pPr>
    </w:p>
    <w:p>
      <w:pPr>
        <w:pStyle w:val="BodyText"/>
        <w:spacing w:before="95"/>
        <w:ind w:left="280" w:right="1111"/>
      </w:pPr>
      <w:r>
        <w:rPr>
          <w:position w:val="8"/>
          <w:sz w:val="16"/>
        </w:rPr>
        <w:t>4 </w:t>
      </w:r>
      <w:r>
        <w:rPr/>
        <w:t>SMARTS provides a platform where dischargers, regulators, and the public can enter, manage, and view stormwater data including permit applications and compliance and monitoring data associated with NPDES permits for stormwater discharges issued by the State of California. SMARTS is compliant with USEPA’s Cross-Media Electronic Reporting Rule, which sets requirements for electronic reporting of NPDES permit- related submittals.</w:t>
      </w:r>
    </w:p>
    <w:p>
      <w:pPr>
        <w:spacing w:after="0"/>
        <w:sectPr>
          <w:pgSz w:w="12240" w:h="15840"/>
          <w:pgMar w:header="728" w:footer="788" w:top="1540" w:bottom="980" w:left="1160" w:right="420"/>
        </w:sectPr>
      </w:pPr>
    </w:p>
    <w:p>
      <w:pPr>
        <w:pStyle w:val="BodyText"/>
        <w:spacing w:before="11"/>
        <w:rPr>
          <w:sz w:val="15"/>
        </w:rPr>
      </w:pPr>
    </w:p>
    <w:p>
      <w:pPr>
        <w:pStyle w:val="ListParagraph"/>
        <w:numPr>
          <w:ilvl w:val="3"/>
          <w:numId w:val="6"/>
        </w:numPr>
        <w:tabs>
          <w:tab w:pos="1358" w:val="left" w:leader="none"/>
          <w:tab w:pos="1359" w:val="left" w:leader="none"/>
        </w:tabs>
        <w:spacing w:line="240" w:lineRule="auto" w:before="92" w:after="0"/>
        <w:ind w:left="1360" w:right="1258" w:hanging="1080"/>
        <w:jc w:val="left"/>
        <w:rPr>
          <w:sz w:val="24"/>
        </w:rPr>
      </w:pPr>
      <w:r>
        <w:rPr>
          <w:sz w:val="24"/>
        </w:rPr>
        <w:t>A site-specific SWPPP that meets the minimum requirements established</w:t>
      </w:r>
      <w:r>
        <w:rPr>
          <w:spacing w:val="-47"/>
          <w:sz w:val="24"/>
        </w:rPr>
        <w:t> </w:t>
      </w:r>
      <w:r>
        <w:rPr>
          <w:sz w:val="24"/>
        </w:rPr>
        <w:t>in section 6 of this Order;</w:t>
      </w:r>
      <w:r>
        <w:rPr>
          <w:spacing w:val="-2"/>
          <w:sz w:val="24"/>
        </w:rPr>
        <w:t> </w:t>
      </w:r>
      <w:r>
        <w:rPr>
          <w:sz w:val="24"/>
        </w:rPr>
        <w:t>and</w:t>
      </w:r>
    </w:p>
    <w:p>
      <w:pPr>
        <w:pStyle w:val="BodyText"/>
        <w:spacing w:before="10"/>
        <w:rPr>
          <w:sz w:val="20"/>
        </w:rPr>
      </w:pPr>
    </w:p>
    <w:p>
      <w:pPr>
        <w:pStyle w:val="ListParagraph"/>
        <w:numPr>
          <w:ilvl w:val="3"/>
          <w:numId w:val="6"/>
        </w:numPr>
        <w:tabs>
          <w:tab w:pos="1358" w:val="left" w:leader="none"/>
          <w:tab w:pos="1359" w:val="left" w:leader="none"/>
        </w:tabs>
        <w:spacing w:line="240" w:lineRule="auto" w:before="0" w:after="0"/>
        <w:ind w:left="1358" w:right="0" w:hanging="1079"/>
        <w:jc w:val="left"/>
        <w:rPr>
          <w:sz w:val="24"/>
        </w:rPr>
      </w:pPr>
      <w:r>
        <w:rPr>
          <w:sz w:val="24"/>
        </w:rPr>
        <w:t>Compliance Option Documents consisting of the</w:t>
      </w:r>
      <w:r>
        <w:rPr>
          <w:spacing w:val="-3"/>
          <w:sz w:val="24"/>
        </w:rPr>
        <w:t> </w:t>
      </w:r>
      <w:r>
        <w:rPr>
          <w:sz w:val="24"/>
        </w:rPr>
        <w:t>following:</w:t>
      </w:r>
    </w:p>
    <w:p>
      <w:pPr>
        <w:pStyle w:val="BodyText"/>
        <w:spacing w:before="10"/>
        <w:rPr>
          <w:sz w:val="20"/>
        </w:rPr>
      </w:pPr>
    </w:p>
    <w:p>
      <w:pPr>
        <w:pStyle w:val="ListParagraph"/>
        <w:numPr>
          <w:ilvl w:val="4"/>
          <w:numId w:val="6"/>
        </w:numPr>
        <w:tabs>
          <w:tab w:pos="1574" w:val="left" w:leader="none"/>
          <w:tab w:pos="1575" w:val="left" w:leader="none"/>
        </w:tabs>
        <w:spacing w:line="240" w:lineRule="auto" w:before="0" w:after="0"/>
        <w:ind w:left="1576" w:right="1171" w:hanging="1296"/>
        <w:jc w:val="left"/>
        <w:rPr>
          <w:sz w:val="24"/>
        </w:rPr>
      </w:pPr>
      <w:r>
        <w:rPr>
          <w:sz w:val="24"/>
        </w:rPr>
        <w:t>Verification of design storm standards for treatment control as described in section 8.2 of this Order and Attachment</w:t>
      </w:r>
      <w:r>
        <w:rPr>
          <w:spacing w:val="-3"/>
          <w:sz w:val="24"/>
        </w:rPr>
        <w:t> </w:t>
      </w:r>
      <w:r>
        <w:rPr>
          <w:sz w:val="24"/>
        </w:rPr>
        <w:t>I.</w:t>
      </w:r>
    </w:p>
    <w:p>
      <w:pPr>
        <w:pStyle w:val="BodyText"/>
        <w:spacing w:before="10"/>
        <w:rPr>
          <w:sz w:val="20"/>
        </w:rPr>
      </w:pPr>
    </w:p>
    <w:p>
      <w:pPr>
        <w:pStyle w:val="ListParagraph"/>
        <w:numPr>
          <w:ilvl w:val="4"/>
          <w:numId w:val="6"/>
        </w:numPr>
        <w:tabs>
          <w:tab w:pos="1574" w:val="left" w:leader="none"/>
          <w:tab w:pos="1575" w:val="left" w:leader="none"/>
        </w:tabs>
        <w:spacing w:line="240" w:lineRule="auto" w:before="0" w:after="0"/>
        <w:ind w:left="1576" w:right="1278" w:hanging="1296"/>
        <w:jc w:val="left"/>
        <w:rPr>
          <w:sz w:val="24"/>
        </w:rPr>
      </w:pPr>
      <w:r>
        <w:rPr>
          <w:sz w:val="24"/>
        </w:rPr>
        <w:t>An updated SWPPP that includes the compliance option selected and the tasks required under this Order associated with the selected option as described in Attachment</w:t>
      </w:r>
      <w:r>
        <w:rPr>
          <w:spacing w:val="-1"/>
          <w:sz w:val="24"/>
        </w:rPr>
        <w:t> </w:t>
      </w:r>
      <w:r>
        <w:rPr>
          <w:sz w:val="24"/>
        </w:rPr>
        <w:t>I.</w:t>
      </w:r>
    </w:p>
    <w:p>
      <w:pPr>
        <w:pStyle w:val="BodyText"/>
        <w:spacing w:before="10"/>
        <w:rPr>
          <w:sz w:val="20"/>
        </w:rPr>
      </w:pPr>
    </w:p>
    <w:p>
      <w:pPr>
        <w:pStyle w:val="Heading1"/>
        <w:numPr>
          <w:ilvl w:val="2"/>
          <w:numId w:val="7"/>
        </w:numPr>
        <w:tabs>
          <w:tab w:pos="1100" w:val="left" w:leader="none"/>
          <w:tab w:pos="1101" w:val="left" w:leader="none"/>
        </w:tabs>
        <w:spacing w:line="240" w:lineRule="auto" w:before="1" w:after="0"/>
        <w:ind w:left="1100" w:right="1224" w:hanging="821"/>
        <w:jc w:val="left"/>
      </w:pPr>
      <w:bookmarkStart w:name="_TOC_250040" w:id="12"/>
      <w:r>
        <w:rPr/>
        <w:t>Compliance Option 3 – Direct Demonstration of Compliance with</w:t>
      </w:r>
      <w:r>
        <w:rPr>
          <w:spacing w:val="-42"/>
        </w:rPr>
        <w:t> </w:t>
      </w:r>
      <w:bookmarkEnd w:id="12"/>
      <w:r>
        <w:rPr/>
        <w:t>Effluent Limitations.</w:t>
      </w:r>
    </w:p>
    <w:p>
      <w:pPr>
        <w:pStyle w:val="BodyText"/>
        <w:spacing w:before="9"/>
        <w:rPr>
          <w:b/>
          <w:sz w:val="20"/>
        </w:rPr>
      </w:pPr>
    </w:p>
    <w:p>
      <w:pPr>
        <w:pStyle w:val="ListParagraph"/>
        <w:numPr>
          <w:ilvl w:val="3"/>
          <w:numId w:val="7"/>
        </w:numPr>
        <w:tabs>
          <w:tab w:pos="1358" w:val="left" w:leader="none"/>
          <w:tab w:pos="1359" w:val="left" w:leader="none"/>
        </w:tabs>
        <w:spacing w:line="240" w:lineRule="auto" w:before="1" w:after="0"/>
        <w:ind w:left="1358" w:right="0" w:hanging="1079"/>
        <w:jc w:val="left"/>
        <w:rPr>
          <w:sz w:val="24"/>
        </w:rPr>
      </w:pPr>
      <w:r>
        <w:rPr>
          <w:sz w:val="24"/>
        </w:rPr>
        <w:t>A completed NOI and signed certification</w:t>
      </w:r>
      <w:r>
        <w:rPr>
          <w:spacing w:val="-4"/>
          <w:sz w:val="24"/>
        </w:rPr>
        <w:t> </w:t>
      </w:r>
      <w:r>
        <w:rPr>
          <w:sz w:val="24"/>
        </w:rPr>
        <w:t>statement;</w:t>
      </w:r>
    </w:p>
    <w:p>
      <w:pPr>
        <w:pStyle w:val="BodyText"/>
        <w:spacing w:before="9"/>
        <w:rPr>
          <w:sz w:val="20"/>
        </w:rPr>
      </w:pPr>
    </w:p>
    <w:p>
      <w:pPr>
        <w:pStyle w:val="ListParagraph"/>
        <w:numPr>
          <w:ilvl w:val="3"/>
          <w:numId w:val="7"/>
        </w:numPr>
        <w:tabs>
          <w:tab w:pos="1358" w:val="left" w:leader="none"/>
          <w:tab w:pos="1359" w:val="left" w:leader="none"/>
        </w:tabs>
        <w:spacing w:line="240" w:lineRule="auto" w:before="1" w:after="0"/>
        <w:ind w:left="1360" w:right="1258" w:hanging="1080"/>
        <w:jc w:val="left"/>
        <w:rPr>
          <w:sz w:val="24"/>
        </w:rPr>
      </w:pPr>
      <w:r>
        <w:rPr>
          <w:sz w:val="24"/>
        </w:rPr>
        <w:t>A site-specific SWPPP that meets the minimum requirements established</w:t>
      </w:r>
      <w:r>
        <w:rPr>
          <w:spacing w:val="-47"/>
          <w:sz w:val="24"/>
        </w:rPr>
        <w:t> </w:t>
      </w:r>
      <w:r>
        <w:rPr>
          <w:sz w:val="24"/>
        </w:rPr>
        <w:t>in section 6 of this Order;</w:t>
      </w:r>
      <w:r>
        <w:rPr>
          <w:spacing w:val="-2"/>
          <w:sz w:val="24"/>
        </w:rPr>
        <w:t> </w:t>
      </w:r>
      <w:r>
        <w:rPr>
          <w:sz w:val="24"/>
        </w:rPr>
        <w:t>and</w:t>
      </w:r>
    </w:p>
    <w:p>
      <w:pPr>
        <w:pStyle w:val="BodyText"/>
        <w:spacing w:before="9"/>
        <w:rPr>
          <w:sz w:val="20"/>
        </w:rPr>
      </w:pPr>
    </w:p>
    <w:p>
      <w:pPr>
        <w:pStyle w:val="ListParagraph"/>
        <w:numPr>
          <w:ilvl w:val="3"/>
          <w:numId w:val="7"/>
        </w:numPr>
        <w:tabs>
          <w:tab w:pos="1358" w:val="left" w:leader="none"/>
          <w:tab w:pos="1359" w:val="left" w:leader="none"/>
        </w:tabs>
        <w:spacing w:line="240" w:lineRule="auto" w:before="1" w:after="0"/>
        <w:ind w:left="1358" w:right="0" w:hanging="1079"/>
        <w:jc w:val="left"/>
        <w:rPr>
          <w:sz w:val="24"/>
        </w:rPr>
      </w:pPr>
      <w:r>
        <w:rPr>
          <w:sz w:val="24"/>
        </w:rPr>
        <w:t>Compliance Option Documents consisting of the</w:t>
      </w:r>
      <w:r>
        <w:rPr>
          <w:spacing w:val="-3"/>
          <w:sz w:val="24"/>
        </w:rPr>
        <w:t> </w:t>
      </w:r>
      <w:r>
        <w:rPr>
          <w:sz w:val="24"/>
        </w:rPr>
        <w:t>following:</w:t>
      </w:r>
    </w:p>
    <w:p>
      <w:pPr>
        <w:pStyle w:val="BodyText"/>
        <w:spacing w:before="10"/>
        <w:rPr>
          <w:sz w:val="20"/>
        </w:rPr>
      </w:pPr>
    </w:p>
    <w:p>
      <w:pPr>
        <w:pStyle w:val="ListParagraph"/>
        <w:numPr>
          <w:ilvl w:val="4"/>
          <w:numId w:val="7"/>
        </w:numPr>
        <w:tabs>
          <w:tab w:pos="1574" w:val="left" w:leader="none"/>
          <w:tab w:pos="1575" w:val="left" w:leader="none"/>
        </w:tabs>
        <w:spacing w:line="240" w:lineRule="auto" w:before="0" w:after="0"/>
        <w:ind w:left="1576" w:right="1237" w:hanging="1296"/>
        <w:jc w:val="left"/>
        <w:rPr>
          <w:sz w:val="24"/>
        </w:rPr>
      </w:pPr>
      <w:r>
        <w:rPr>
          <w:sz w:val="24"/>
        </w:rPr>
        <w:t>A site-specific Monitoring and Reporting Plan that meets the requirements established in section 9.3 of this</w:t>
      </w:r>
      <w:r>
        <w:rPr>
          <w:spacing w:val="-4"/>
          <w:sz w:val="24"/>
        </w:rPr>
        <w:t> </w:t>
      </w:r>
      <w:r>
        <w:rPr>
          <w:sz w:val="24"/>
        </w:rPr>
        <w:t>Order.</w:t>
      </w:r>
    </w:p>
    <w:p>
      <w:pPr>
        <w:pStyle w:val="BodyText"/>
        <w:spacing w:before="10"/>
        <w:rPr>
          <w:sz w:val="20"/>
        </w:rPr>
      </w:pPr>
    </w:p>
    <w:p>
      <w:pPr>
        <w:pStyle w:val="ListParagraph"/>
        <w:numPr>
          <w:ilvl w:val="4"/>
          <w:numId w:val="7"/>
        </w:numPr>
        <w:tabs>
          <w:tab w:pos="1574" w:val="left" w:leader="none"/>
          <w:tab w:pos="1575" w:val="left" w:leader="none"/>
        </w:tabs>
        <w:spacing w:line="240" w:lineRule="auto" w:before="0" w:after="0"/>
        <w:ind w:left="1575" w:right="1278" w:hanging="1296"/>
        <w:jc w:val="left"/>
        <w:rPr>
          <w:sz w:val="24"/>
        </w:rPr>
      </w:pPr>
      <w:r>
        <w:rPr>
          <w:sz w:val="24"/>
        </w:rPr>
        <w:t>An updated SWPPP that includes the compliance option selected and the tasks required under the Order associated with the selected option as described in Attachment</w:t>
      </w:r>
      <w:r>
        <w:rPr>
          <w:spacing w:val="-3"/>
          <w:sz w:val="24"/>
        </w:rPr>
        <w:t> </w:t>
      </w:r>
      <w:r>
        <w:rPr>
          <w:sz w:val="24"/>
        </w:rPr>
        <w:t>E.</w:t>
      </w:r>
    </w:p>
    <w:p>
      <w:pPr>
        <w:pStyle w:val="BodyText"/>
        <w:spacing w:before="10"/>
        <w:rPr>
          <w:sz w:val="20"/>
        </w:rPr>
      </w:pPr>
    </w:p>
    <w:p>
      <w:pPr>
        <w:pStyle w:val="Heading1"/>
        <w:numPr>
          <w:ilvl w:val="1"/>
          <w:numId w:val="8"/>
        </w:numPr>
        <w:tabs>
          <w:tab w:pos="871" w:val="left" w:leader="none"/>
        </w:tabs>
        <w:spacing w:line="240" w:lineRule="auto" w:before="0" w:after="0"/>
        <w:ind w:left="870" w:right="0" w:hanging="592"/>
        <w:jc w:val="left"/>
      </w:pPr>
      <w:bookmarkStart w:name="_TOC_250039" w:id="13"/>
      <w:r>
        <w:rPr/>
        <w:t>Annual</w:t>
      </w:r>
      <w:r>
        <w:rPr>
          <w:spacing w:val="-1"/>
        </w:rPr>
        <w:t> </w:t>
      </w:r>
      <w:bookmarkEnd w:id="13"/>
      <w:r>
        <w:rPr/>
        <w:t>Fee.</w:t>
      </w:r>
    </w:p>
    <w:p>
      <w:pPr>
        <w:pStyle w:val="BodyText"/>
        <w:spacing w:before="10"/>
        <w:rPr>
          <w:b/>
          <w:sz w:val="23"/>
        </w:rPr>
      </w:pPr>
    </w:p>
    <w:p>
      <w:pPr>
        <w:pStyle w:val="BodyText"/>
        <w:ind w:left="870" w:right="1138"/>
      </w:pPr>
      <w:r>
        <w:rPr/>
        <w:t>The Discharger shall pay the appropriate annual fee in accordance with the California Code of Regulations, title 23, section 2200 et seq. Annual fees must be mailed or sent electronically using the State Water Boards’ Electronic Funds Transfer (EFT) system: </w:t>
      </w:r>
      <w:hyperlink r:id="rId9">
        <w:r>
          <w:rPr/>
          <w:t>https://www.waterboards.ca.gov/make_a_payment/.</w:t>
        </w:r>
      </w:hyperlink>
    </w:p>
    <w:p>
      <w:pPr>
        <w:pStyle w:val="BodyText"/>
        <w:spacing w:before="10"/>
        <w:rPr>
          <w:sz w:val="20"/>
        </w:rPr>
      </w:pPr>
    </w:p>
    <w:p>
      <w:pPr>
        <w:pStyle w:val="Heading1"/>
        <w:numPr>
          <w:ilvl w:val="1"/>
          <w:numId w:val="8"/>
        </w:numPr>
        <w:tabs>
          <w:tab w:pos="871" w:val="left" w:leader="none"/>
        </w:tabs>
        <w:spacing w:line="240" w:lineRule="auto" w:before="0" w:after="0"/>
        <w:ind w:left="870" w:right="0" w:hanging="592"/>
        <w:jc w:val="left"/>
      </w:pPr>
      <w:r>
        <w:rPr/>
        <w:t>Timing for Submittal of Permit Registration</w:t>
      </w:r>
      <w:r>
        <w:rPr>
          <w:spacing w:val="-6"/>
        </w:rPr>
        <w:t> </w:t>
      </w:r>
      <w:r>
        <w:rPr/>
        <w:t>Documents.</w:t>
      </w:r>
    </w:p>
    <w:p>
      <w:pPr>
        <w:pStyle w:val="BodyText"/>
        <w:spacing w:before="10"/>
        <w:rPr>
          <w:b/>
          <w:sz w:val="20"/>
        </w:rPr>
      </w:pPr>
    </w:p>
    <w:p>
      <w:pPr>
        <w:pStyle w:val="ListParagraph"/>
        <w:numPr>
          <w:ilvl w:val="2"/>
          <w:numId w:val="8"/>
        </w:numPr>
        <w:tabs>
          <w:tab w:pos="1100" w:val="left" w:leader="none"/>
          <w:tab w:pos="1101" w:val="left" w:leader="none"/>
        </w:tabs>
        <w:spacing w:line="240" w:lineRule="auto" w:before="0" w:after="0"/>
        <w:ind w:left="1100" w:right="1019" w:hanging="821"/>
        <w:jc w:val="left"/>
        <w:rPr>
          <w:sz w:val="24"/>
        </w:rPr>
      </w:pPr>
      <w:r>
        <w:rPr>
          <w:sz w:val="24"/>
        </w:rPr>
        <w:t>Existing Dischargers applying for coverage under this Order must submit an NOI and SWPPP within one (1) year and Compliance Option Documents within</w:t>
      </w:r>
      <w:r>
        <w:rPr>
          <w:spacing w:val="-32"/>
          <w:sz w:val="24"/>
        </w:rPr>
        <w:t> </w:t>
      </w:r>
      <w:r>
        <w:rPr>
          <w:sz w:val="24"/>
        </w:rPr>
        <w:t>two</w:t>
      </w:r>
    </w:p>
    <w:p>
      <w:pPr>
        <w:pStyle w:val="BodyText"/>
        <w:ind w:left="1100"/>
      </w:pPr>
      <w:r>
        <w:rPr/>
        <w:t>(2) years of the effective date of this Order.</w:t>
      </w:r>
    </w:p>
    <w:p>
      <w:pPr>
        <w:pStyle w:val="BodyText"/>
        <w:spacing w:before="10"/>
        <w:rPr>
          <w:sz w:val="20"/>
        </w:rPr>
      </w:pPr>
    </w:p>
    <w:p>
      <w:pPr>
        <w:pStyle w:val="ListParagraph"/>
        <w:numPr>
          <w:ilvl w:val="2"/>
          <w:numId w:val="8"/>
        </w:numPr>
        <w:tabs>
          <w:tab w:pos="1100" w:val="left" w:leader="none"/>
          <w:tab w:pos="1101" w:val="left" w:leader="none"/>
        </w:tabs>
        <w:spacing w:line="240" w:lineRule="auto" w:before="0" w:after="0"/>
        <w:ind w:left="1100" w:right="1059" w:hanging="821"/>
        <w:jc w:val="left"/>
        <w:rPr>
          <w:sz w:val="24"/>
        </w:rPr>
      </w:pPr>
      <w:r>
        <w:rPr>
          <w:sz w:val="24"/>
        </w:rPr>
        <w:t>New Dischargers applying for coverage under this Order must submit an NOI, SWPPP, and Compliance Option Documents at least forty-five (45) days prior to commencement of the authorized</w:t>
      </w:r>
      <w:r>
        <w:rPr>
          <w:spacing w:val="-4"/>
          <w:sz w:val="24"/>
        </w:rPr>
        <w:t> </w:t>
      </w:r>
      <w:r>
        <w:rPr>
          <w:sz w:val="24"/>
        </w:rPr>
        <w:t>discharge.</w:t>
      </w:r>
    </w:p>
    <w:p>
      <w:pPr>
        <w:spacing w:after="0" w:line="240" w:lineRule="auto"/>
        <w:jc w:val="left"/>
        <w:rPr>
          <w:sz w:val="24"/>
        </w:rPr>
        <w:sectPr>
          <w:pgSz w:w="12240" w:h="15840"/>
          <w:pgMar w:header="728" w:footer="788" w:top="1540" w:bottom="980" w:left="1160" w:right="420"/>
        </w:sectPr>
      </w:pPr>
    </w:p>
    <w:p>
      <w:pPr>
        <w:pStyle w:val="BodyText"/>
        <w:spacing w:before="11"/>
        <w:rPr>
          <w:sz w:val="15"/>
        </w:rPr>
      </w:pPr>
    </w:p>
    <w:p>
      <w:pPr>
        <w:pStyle w:val="Heading1"/>
        <w:numPr>
          <w:ilvl w:val="1"/>
          <w:numId w:val="8"/>
        </w:numPr>
        <w:tabs>
          <w:tab w:pos="871" w:val="left" w:leader="none"/>
        </w:tabs>
        <w:spacing w:line="240" w:lineRule="auto" w:before="92" w:after="0"/>
        <w:ind w:left="870" w:right="0" w:hanging="591"/>
        <w:jc w:val="left"/>
      </w:pPr>
      <w:r>
        <w:rPr/>
        <w:t>Notice of Termination</w:t>
      </w:r>
      <w:r>
        <w:rPr>
          <w:spacing w:val="-1"/>
        </w:rPr>
        <w:t> </w:t>
      </w:r>
      <w:r>
        <w:rPr/>
        <w:t>(NOT).</w:t>
      </w:r>
    </w:p>
    <w:p>
      <w:pPr>
        <w:pStyle w:val="BodyText"/>
        <w:rPr>
          <w:b/>
        </w:rPr>
      </w:pPr>
    </w:p>
    <w:p>
      <w:pPr>
        <w:pStyle w:val="BodyText"/>
        <w:ind w:left="870" w:right="1180"/>
      </w:pPr>
      <w:r>
        <w:rPr/>
        <w:t>Dischargers shall request termination of coverage under this General Permit if either (a) ownership or operation of the facility has been transferred to another entity, (b) the facility has ceased operations, (c) the facility’s operations have changed and are no longer subject to the General Permit. Dischargers shall submit a Notice of Termination (NOT) via SMARTS. Until a valid NOT is received and approved, the Discharger remains responsible for compliance with this General Permit and payment of accrued annual fees.</w:t>
      </w:r>
    </w:p>
    <w:p>
      <w:pPr>
        <w:pStyle w:val="BodyText"/>
      </w:pPr>
    </w:p>
    <w:p>
      <w:pPr>
        <w:pStyle w:val="BodyText"/>
        <w:ind w:left="870" w:right="1045"/>
      </w:pPr>
      <w:r>
        <w:rPr/>
        <w:t>Dischargers shall provide additional information supporting an NOT, or revise their Permit Registration Documents via SMARTS, upon any such direction by the Los Angeles Water Board.</w:t>
      </w:r>
    </w:p>
    <w:p>
      <w:pPr>
        <w:pStyle w:val="BodyText"/>
      </w:pPr>
    </w:p>
    <w:p>
      <w:pPr>
        <w:pStyle w:val="BodyText"/>
        <w:spacing w:before="1"/>
        <w:ind w:left="870" w:right="1058"/>
      </w:pPr>
      <w:r>
        <w:rPr/>
        <w:t>Dischargers that are denied approval of a submitted NOT shall continue to comply with this General Permit under the terms of their enrollment.</w:t>
      </w:r>
    </w:p>
    <w:p>
      <w:pPr>
        <w:pStyle w:val="BodyText"/>
        <w:spacing w:before="9"/>
        <w:rPr>
          <w:sz w:val="20"/>
        </w:rPr>
      </w:pPr>
    </w:p>
    <w:p>
      <w:pPr>
        <w:pStyle w:val="BodyText"/>
        <w:spacing w:before="1"/>
        <w:ind w:left="870" w:right="1035"/>
      </w:pPr>
      <w:r>
        <w:rPr/>
        <w:t>Reduction of impervious area is not an acceptable basis for termination of coverage. Reduction of parcel size by subdivision is not an acceptable basis for permit termination unless the reduction in size is due to a change in ownership.</w:t>
      </w:r>
    </w:p>
    <w:p>
      <w:pPr>
        <w:pStyle w:val="BodyText"/>
        <w:spacing w:before="10"/>
        <w:rPr>
          <w:sz w:val="20"/>
        </w:rPr>
      </w:pPr>
    </w:p>
    <w:p>
      <w:pPr>
        <w:pStyle w:val="Heading1"/>
        <w:numPr>
          <w:ilvl w:val="1"/>
          <w:numId w:val="8"/>
        </w:numPr>
        <w:tabs>
          <w:tab w:pos="871" w:val="left" w:leader="none"/>
        </w:tabs>
        <w:spacing w:line="240" w:lineRule="auto" w:before="0" w:after="0"/>
        <w:ind w:left="870" w:right="0" w:hanging="592"/>
        <w:jc w:val="left"/>
      </w:pPr>
      <w:r>
        <w:rPr/>
        <w:t>Change of Facility Location or</w:t>
      </w:r>
      <w:r>
        <w:rPr>
          <w:spacing w:val="-1"/>
        </w:rPr>
        <w:t> </w:t>
      </w:r>
      <w:r>
        <w:rPr/>
        <w:t>Ownership.</w:t>
      </w:r>
    </w:p>
    <w:p>
      <w:pPr>
        <w:pStyle w:val="BodyText"/>
        <w:spacing w:before="10"/>
        <w:rPr>
          <w:b/>
          <w:sz w:val="23"/>
        </w:rPr>
      </w:pPr>
    </w:p>
    <w:p>
      <w:pPr>
        <w:pStyle w:val="BodyText"/>
        <w:ind w:left="870" w:right="1018"/>
      </w:pPr>
      <w:r>
        <w:rPr/>
        <w:t>Whenever there is a change to the facility location within the area covered by this General Permit, the Discharger shall certify and submit updated Permit Registration Documents via SMARTS. When ownership changes, the prior Discharger (seller) shall submit an NOT in accordance with section 3.5 of this Order and inform the new Discharger (buyer) in writing of the General Permit application and regulatory coverage requirements. The new Discharger shall apply for coverage under this Order by submitting an NOI and Permit Registration Documents via SMARTS in accordance with sections 3.2, and 3.4.2 of this Order. The Los Angeles Water Board may require modification or revocation and reissuance of coverage under the Order to incorporate other requirements as may be necessary under the CWA and the CWC.</w:t>
      </w:r>
    </w:p>
    <w:p>
      <w:pPr>
        <w:pStyle w:val="BodyText"/>
        <w:spacing w:before="10"/>
        <w:rPr>
          <w:sz w:val="20"/>
        </w:rPr>
      </w:pPr>
    </w:p>
    <w:p>
      <w:pPr>
        <w:pStyle w:val="Heading1"/>
        <w:numPr>
          <w:ilvl w:val="0"/>
          <w:numId w:val="4"/>
        </w:numPr>
        <w:tabs>
          <w:tab w:pos="640" w:val="left" w:leader="none"/>
        </w:tabs>
        <w:spacing w:line="240" w:lineRule="auto" w:before="0" w:after="0"/>
        <w:ind w:left="639" w:right="0" w:hanging="361"/>
        <w:jc w:val="left"/>
      </w:pPr>
      <w:bookmarkStart w:name="_TOC_250038" w:id="14"/>
      <w:r>
        <w:rPr/>
        <w:t>DISCHARGE</w:t>
      </w:r>
      <w:r>
        <w:rPr>
          <w:spacing w:val="-1"/>
        </w:rPr>
        <w:t> </w:t>
      </w:r>
      <w:bookmarkEnd w:id="14"/>
      <w:r>
        <w:rPr/>
        <w:t>PROHIBITIONS.</w:t>
      </w:r>
    </w:p>
    <w:p>
      <w:pPr>
        <w:pStyle w:val="BodyText"/>
        <w:spacing w:before="10"/>
        <w:rPr>
          <w:b/>
          <w:sz w:val="20"/>
        </w:rPr>
      </w:pPr>
    </w:p>
    <w:p>
      <w:pPr>
        <w:pStyle w:val="Heading1"/>
        <w:numPr>
          <w:ilvl w:val="1"/>
          <w:numId w:val="4"/>
        </w:numPr>
        <w:tabs>
          <w:tab w:pos="871" w:val="left" w:leader="none"/>
        </w:tabs>
        <w:spacing w:line="240" w:lineRule="auto" w:before="0" w:after="0"/>
        <w:ind w:left="870" w:right="0" w:hanging="592"/>
        <w:jc w:val="left"/>
      </w:pPr>
      <w:bookmarkStart w:name="_TOC_250037" w:id="15"/>
      <w:r>
        <w:rPr/>
        <w:t>Discharges Inconsistent with</w:t>
      </w:r>
      <w:r>
        <w:rPr>
          <w:spacing w:val="-1"/>
        </w:rPr>
        <w:t> </w:t>
      </w:r>
      <w:bookmarkEnd w:id="15"/>
      <w:r>
        <w:rPr/>
        <w:t>Eligibility.</w:t>
      </w:r>
    </w:p>
    <w:p>
      <w:pPr>
        <w:pStyle w:val="BodyText"/>
        <w:rPr>
          <w:b/>
        </w:rPr>
      </w:pPr>
    </w:p>
    <w:p>
      <w:pPr>
        <w:pStyle w:val="BodyText"/>
        <w:ind w:left="870" w:right="2059"/>
      </w:pPr>
      <w:r>
        <w:rPr/>
        <w:t>All discharges of stormwater to receiving waters are prohibited except as specifically authorized by this General Permit or another NPDES permit.</w:t>
      </w:r>
    </w:p>
    <w:p>
      <w:pPr>
        <w:pStyle w:val="BodyText"/>
        <w:spacing w:before="10"/>
        <w:rPr>
          <w:sz w:val="20"/>
        </w:rPr>
      </w:pPr>
    </w:p>
    <w:p>
      <w:pPr>
        <w:pStyle w:val="Heading1"/>
        <w:numPr>
          <w:ilvl w:val="1"/>
          <w:numId w:val="4"/>
        </w:numPr>
        <w:tabs>
          <w:tab w:pos="871" w:val="left" w:leader="none"/>
        </w:tabs>
        <w:spacing w:line="240" w:lineRule="auto" w:before="1" w:after="0"/>
        <w:ind w:left="870" w:right="0" w:hanging="592"/>
        <w:jc w:val="left"/>
      </w:pPr>
      <w:bookmarkStart w:name="_TOC_250036" w:id="16"/>
      <w:r>
        <w:rPr/>
        <w:t>Non-Stormwater and Dry Weather</w:t>
      </w:r>
      <w:r>
        <w:rPr>
          <w:spacing w:val="-2"/>
        </w:rPr>
        <w:t> </w:t>
      </w:r>
      <w:bookmarkEnd w:id="16"/>
      <w:r>
        <w:rPr/>
        <w:t>Discharges.</w:t>
      </w:r>
    </w:p>
    <w:p>
      <w:pPr>
        <w:pStyle w:val="BodyText"/>
        <w:spacing w:before="11"/>
        <w:rPr>
          <w:b/>
          <w:sz w:val="23"/>
        </w:rPr>
      </w:pPr>
    </w:p>
    <w:p>
      <w:pPr>
        <w:pStyle w:val="BodyText"/>
        <w:ind w:left="870" w:right="1286"/>
      </w:pPr>
      <w:r>
        <w:rPr/>
        <w:t>Except for non-stormwater discharges (NSWDs) authorized in section 5 of this Order, discharges of liquids or materials other than stormwater, either directly or</w:t>
      </w:r>
    </w:p>
    <w:p>
      <w:pPr>
        <w:spacing w:after="0"/>
        <w:sectPr>
          <w:pgSz w:w="12240" w:h="15840"/>
          <w:pgMar w:header="728" w:footer="788" w:top="1540" w:bottom="980" w:left="1160" w:right="420"/>
        </w:sectPr>
      </w:pPr>
    </w:p>
    <w:p>
      <w:pPr>
        <w:pStyle w:val="BodyText"/>
        <w:spacing w:before="11"/>
        <w:rPr>
          <w:sz w:val="15"/>
        </w:rPr>
      </w:pPr>
    </w:p>
    <w:p>
      <w:pPr>
        <w:pStyle w:val="BodyText"/>
        <w:spacing w:before="92"/>
        <w:ind w:left="870" w:right="1035"/>
      </w:pPr>
      <w:r>
        <w:rPr/>
        <w:t>indirectly to receiving waters, are prohibited unless authorized by another NPDES permit. Unauthorized NSWDs must be either eliminated or authorized by a separate NPDES permit.</w:t>
      </w:r>
    </w:p>
    <w:p>
      <w:pPr>
        <w:pStyle w:val="BodyText"/>
        <w:spacing w:before="10"/>
        <w:rPr>
          <w:sz w:val="20"/>
        </w:rPr>
      </w:pPr>
    </w:p>
    <w:p>
      <w:pPr>
        <w:pStyle w:val="Heading1"/>
        <w:numPr>
          <w:ilvl w:val="1"/>
          <w:numId w:val="4"/>
        </w:numPr>
        <w:tabs>
          <w:tab w:pos="871" w:val="left" w:leader="none"/>
        </w:tabs>
        <w:spacing w:line="240" w:lineRule="auto" w:before="0" w:after="0"/>
        <w:ind w:left="870" w:right="0" w:hanging="592"/>
        <w:jc w:val="left"/>
      </w:pPr>
      <w:bookmarkStart w:name="_TOC_250035" w:id="17"/>
      <w:r>
        <w:rPr/>
        <w:t>Discharges of</w:t>
      </w:r>
      <w:r>
        <w:rPr>
          <w:spacing w:val="-3"/>
        </w:rPr>
        <w:t> </w:t>
      </w:r>
      <w:bookmarkEnd w:id="17"/>
      <w:r>
        <w:rPr/>
        <w:t>Trash.</w:t>
      </w:r>
    </w:p>
    <w:p>
      <w:pPr>
        <w:pStyle w:val="BodyText"/>
        <w:rPr>
          <w:b/>
        </w:rPr>
      </w:pPr>
    </w:p>
    <w:p>
      <w:pPr>
        <w:pStyle w:val="BodyText"/>
        <w:ind w:left="870" w:right="1126"/>
      </w:pPr>
      <w:r>
        <w:rPr/>
        <w:t>The discharge of trash to receiving waters or the deposition of trash where it may be discharged into receiving waters is prohibited. Permittees may comply with the trash prohibition using any lawful means, including the implementation of certified full capture systems. If implementing full capture system, a Permittee shall be in compliance with the prohibition if all drainage areas on the facility property are addressed by appropriate certified full capture systems.</w:t>
      </w:r>
    </w:p>
    <w:p>
      <w:pPr>
        <w:pStyle w:val="BodyText"/>
        <w:spacing w:before="10"/>
        <w:rPr>
          <w:sz w:val="20"/>
        </w:rPr>
      </w:pPr>
    </w:p>
    <w:p>
      <w:pPr>
        <w:pStyle w:val="Heading1"/>
        <w:numPr>
          <w:ilvl w:val="1"/>
          <w:numId w:val="4"/>
        </w:numPr>
        <w:tabs>
          <w:tab w:pos="871" w:val="left" w:leader="none"/>
        </w:tabs>
        <w:spacing w:line="240" w:lineRule="auto" w:before="1" w:after="0"/>
        <w:ind w:left="870" w:right="1720" w:hanging="591"/>
        <w:jc w:val="left"/>
      </w:pPr>
      <w:r>
        <w:rPr/>
        <w:t>Discharges Containing Substances in Concentrations Toxic to Human, Animal, Plant, or Aquatic</w:t>
      </w:r>
      <w:r>
        <w:rPr>
          <w:spacing w:val="-3"/>
        </w:rPr>
        <w:t> </w:t>
      </w:r>
      <w:r>
        <w:rPr/>
        <w:t>Life.</w:t>
      </w:r>
    </w:p>
    <w:p>
      <w:pPr>
        <w:pStyle w:val="BodyText"/>
        <w:spacing w:before="11"/>
        <w:rPr>
          <w:b/>
          <w:sz w:val="23"/>
        </w:rPr>
      </w:pPr>
    </w:p>
    <w:p>
      <w:pPr>
        <w:pStyle w:val="BodyText"/>
        <w:ind w:left="870" w:right="1111"/>
      </w:pPr>
      <w:r>
        <w:rPr/>
        <w:t>Discharges that contain any substances in concentrations toxic to human, animal, plant, or aquatic life are prohibited.</w:t>
      </w:r>
    </w:p>
    <w:p>
      <w:pPr>
        <w:pStyle w:val="BodyText"/>
        <w:spacing w:before="10"/>
        <w:rPr>
          <w:sz w:val="20"/>
        </w:rPr>
      </w:pPr>
    </w:p>
    <w:p>
      <w:pPr>
        <w:pStyle w:val="Heading1"/>
        <w:numPr>
          <w:ilvl w:val="1"/>
          <w:numId w:val="4"/>
        </w:numPr>
        <w:tabs>
          <w:tab w:pos="871" w:val="left" w:leader="none"/>
        </w:tabs>
        <w:spacing w:line="240" w:lineRule="auto" w:before="0" w:after="0"/>
        <w:ind w:left="870" w:right="1213" w:hanging="591"/>
        <w:jc w:val="left"/>
      </w:pPr>
      <w:r>
        <w:rPr/>
        <w:t>Discharges that Cause or Contribute to a Violation of Any Applicable Water Quality</w:t>
      </w:r>
      <w:r>
        <w:rPr>
          <w:spacing w:val="-2"/>
        </w:rPr>
        <w:t> </w:t>
      </w:r>
      <w:r>
        <w:rPr/>
        <w:t>Standard.</w:t>
      </w:r>
    </w:p>
    <w:p>
      <w:pPr>
        <w:pStyle w:val="BodyText"/>
        <w:rPr>
          <w:b/>
        </w:rPr>
      </w:pPr>
    </w:p>
    <w:p>
      <w:pPr>
        <w:pStyle w:val="BodyText"/>
        <w:ind w:left="870" w:right="1035"/>
      </w:pPr>
      <w:r>
        <w:rPr/>
        <w:t>Discharges that cause or contribute to a violation of any applicable water quality standard for the receiving water are prohibited.</w:t>
      </w:r>
    </w:p>
    <w:p>
      <w:pPr>
        <w:pStyle w:val="BodyText"/>
        <w:spacing w:before="9"/>
        <w:rPr>
          <w:sz w:val="20"/>
        </w:rPr>
      </w:pPr>
    </w:p>
    <w:p>
      <w:pPr>
        <w:pStyle w:val="Heading1"/>
        <w:numPr>
          <w:ilvl w:val="1"/>
          <w:numId w:val="4"/>
        </w:numPr>
        <w:tabs>
          <w:tab w:pos="871" w:val="left" w:leader="none"/>
        </w:tabs>
        <w:spacing w:line="240" w:lineRule="auto" w:before="0" w:after="0"/>
        <w:ind w:left="870" w:right="1425" w:hanging="591"/>
        <w:jc w:val="left"/>
      </w:pPr>
      <w:r>
        <w:rPr/>
        <w:t>Pollution, Contamination, or Nuisance as Defined by Section 13050 of the CWC.</w:t>
      </w:r>
    </w:p>
    <w:p>
      <w:pPr>
        <w:pStyle w:val="BodyText"/>
        <w:rPr>
          <w:b/>
        </w:rPr>
      </w:pPr>
    </w:p>
    <w:p>
      <w:pPr>
        <w:pStyle w:val="BodyText"/>
        <w:ind w:left="870" w:right="1165"/>
      </w:pPr>
      <w:r>
        <w:rPr/>
        <w:t>Stormwater discharges and authorized NSWDs that contain pollutants that cause or threaten to cause pollution, contamination, or nuisance as defined in CWC section 13050 are prohibited.</w:t>
      </w:r>
    </w:p>
    <w:p>
      <w:pPr>
        <w:pStyle w:val="BodyText"/>
        <w:spacing w:before="10"/>
        <w:rPr>
          <w:sz w:val="20"/>
        </w:rPr>
      </w:pPr>
    </w:p>
    <w:p>
      <w:pPr>
        <w:pStyle w:val="Heading1"/>
        <w:numPr>
          <w:ilvl w:val="1"/>
          <w:numId w:val="4"/>
        </w:numPr>
        <w:tabs>
          <w:tab w:pos="871" w:val="left" w:leader="none"/>
        </w:tabs>
        <w:spacing w:line="240" w:lineRule="auto" w:before="0" w:after="0"/>
        <w:ind w:left="870" w:right="0" w:hanging="592"/>
        <w:jc w:val="left"/>
      </w:pPr>
      <w:bookmarkStart w:name="_TOC_250034" w:id="18"/>
      <w:r>
        <w:rPr/>
        <w:t>Discharge of Radiological, Chemical, or Biological Warfare</w:t>
      </w:r>
      <w:r>
        <w:rPr>
          <w:spacing w:val="-6"/>
        </w:rPr>
        <w:t> </w:t>
      </w:r>
      <w:bookmarkEnd w:id="18"/>
      <w:r>
        <w:rPr/>
        <w:t>Agent.</w:t>
      </w:r>
    </w:p>
    <w:p>
      <w:pPr>
        <w:pStyle w:val="BodyText"/>
        <w:rPr>
          <w:b/>
        </w:rPr>
      </w:pPr>
    </w:p>
    <w:p>
      <w:pPr>
        <w:pStyle w:val="BodyText"/>
        <w:ind w:left="870" w:right="1035"/>
      </w:pPr>
      <w:r>
        <w:rPr/>
        <w:t>Discharges of any radiological, chemical, or biological warfare agent or high-level radiological waste are prohibited.</w:t>
      </w:r>
    </w:p>
    <w:p>
      <w:pPr>
        <w:pStyle w:val="BodyText"/>
        <w:spacing w:before="10"/>
        <w:rPr>
          <w:sz w:val="20"/>
        </w:rPr>
      </w:pPr>
    </w:p>
    <w:p>
      <w:pPr>
        <w:pStyle w:val="Heading1"/>
        <w:numPr>
          <w:ilvl w:val="0"/>
          <w:numId w:val="4"/>
        </w:numPr>
        <w:tabs>
          <w:tab w:pos="640" w:val="left" w:leader="none"/>
        </w:tabs>
        <w:spacing w:line="240" w:lineRule="auto" w:before="0" w:after="0"/>
        <w:ind w:left="639" w:right="0" w:hanging="361"/>
        <w:jc w:val="left"/>
      </w:pPr>
      <w:r>
        <w:rPr/>
        <w:t>NON-STORMWATER DISCHARGES</w:t>
      </w:r>
      <w:r>
        <w:rPr>
          <w:spacing w:val="-1"/>
        </w:rPr>
        <w:t> </w:t>
      </w:r>
      <w:r>
        <w:rPr/>
        <w:t>(NSWDS).</w:t>
      </w:r>
    </w:p>
    <w:p>
      <w:pPr>
        <w:pStyle w:val="BodyText"/>
        <w:spacing w:before="10"/>
        <w:rPr>
          <w:b/>
          <w:sz w:val="20"/>
        </w:rPr>
      </w:pPr>
    </w:p>
    <w:p>
      <w:pPr>
        <w:pStyle w:val="Heading1"/>
        <w:numPr>
          <w:ilvl w:val="1"/>
          <w:numId w:val="4"/>
        </w:numPr>
        <w:tabs>
          <w:tab w:pos="871" w:val="left" w:leader="none"/>
        </w:tabs>
        <w:spacing w:line="240" w:lineRule="auto" w:before="0" w:after="0"/>
        <w:ind w:left="870" w:right="0" w:hanging="592"/>
        <w:jc w:val="left"/>
      </w:pPr>
      <w:bookmarkStart w:name="_TOC_250033" w:id="19"/>
      <w:r>
        <w:rPr/>
        <w:t>Authorized</w:t>
      </w:r>
      <w:r>
        <w:rPr>
          <w:spacing w:val="-1"/>
        </w:rPr>
        <w:t> </w:t>
      </w:r>
      <w:bookmarkEnd w:id="19"/>
      <w:r>
        <w:rPr/>
        <w:t>NSWDs.</w:t>
      </w:r>
    </w:p>
    <w:p>
      <w:pPr>
        <w:pStyle w:val="BodyText"/>
        <w:rPr>
          <w:b/>
        </w:rPr>
      </w:pPr>
    </w:p>
    <w:p>
      <w:pPr>
        <w:pStyle w:val="BodyText"/>
        <w:ind w:left="870" w:right="1525"/>
      </w:pPr>
      <w:r>
        <w:rPr/>
        <w:t>The following NSWDs are authorized under this Order provided they meet the conditions of section 5.2 below:</w:t>
      </w:r>
    </w:p>
    <w:p>
      <w:pPr>
        <w:pStyle w:val="BodyText"/>
        <w:spacing w:before="10"/>
        <w:rPr>
          <w:sz w:val="20"/>
        </w:rPr>
      </w:pPr>
    </w:p>
    <w:p>
      <w:pPr>
        <w:pStyle w:val="ListParagraph"/>
        <w:numPr>
          <w:ilvl w:val="2"/>
          <w:numId w:val="4"/>
        </w:numPr>
        <w:tabs>
          <w:tab w:pos="1100" w:val="left" w:leader="none"/>
          <w:tab w:pos="1101" w:val="left" w:leader="none"/>
        </w:tabs>
        <w:spacing w:line="240" w:lineRule="auto" w:before="1" w:after="0"/>
        <w:ind w:left="1100" w:right="0" w:hanging="822"/>
        <w:jc w:val="left"/>
        <w:rPr>
          <w:sz w:val="24"/>
        </w:rPr>
      </w:pPr>
      <w:r>
        <w:rPr>
          <w:sz w:val="24"/>
        </w:rPr>
        <w:t>NSWDs separately regulated by an individual or general NPDES</w:t>
      </w:r>
      <w:r>
        <w:rPr>
          <w:spacing w:val="-12"/>
          <w:sz w:val="24"/>
        </w:rPr>
        <w:t> </w:t>
      </w:r>
      <w:r>
        <w:rPr>
          <w:sz w:val="24"/>
        </w:rPr>
        <w:t>permit;</w:t>
      </w:r>
    </w:p>
    <w:p>
      <w:pPr>
        <w:spacing w:after="0" w:line="240" w:lineRule="auto"/>
        <w:jc w:val="left"/>
        <w:rPr>
          <w:sz w:val="24"/>
        </w:rPr>
        <w:sectPr>
          <w:pgSz w:w="12240" w:h="15840"/>
          <w:pgMar w:header="728" w:footer="788" w:top="1540" w:bottom="980" w:left="1160" w:right="420"/>
        </w:sectPr>
      </w:pPr>
    </w:p>
    <w:p>
      <w:pPr>
        <w:pStyle w:val="BodyText"/>
        <w:spacing w:before="11"/>
        <w:rPr>
          <w:sz w:val="15"/>
        </w:rPr>
      </w:pPr>
    </w:p>
    <w:p>
      <w:pPr>
        <w:pStyle w:val="ListParagraph"/>
        <w:numPr>
          <w:ilvl w:val="2"/>
          <w:numId w:val="4"/>
        </w:numPr>
        <w:tabs>
          <w:tab w:pos="1100" w:val="left" w:leader="none"/>
          <w:tab w:pos="1101" w:val="left" w:leader="none"/>
        </w:tabs>
        <w:spacing w:line="240" w:lineRule="auto" w:before="92" w:after="0"/>
        <w:ind w:left="1100" w:right="0" w:hanging="821"/>
        <w:jc w:val="left"/>
        <w:rPr>
          <w:sz w:val="24"/>
        </w:rPr>
      </w:pPr>
      <w:r>
        <w:rPr>
          <w:sz w:val="24"/>
        </w:rPr>
        <w:t>Fire-hydrant and fire prevention or response system</w:t>
      </w:r>
      <w:r>
        <w:rPr>
          <w:spacing w:val="-3"/>
          <w:sz w:val="24"/>
        </w:rPr>
        <w:t> </w:t>
      </w:r>
      <w:r>
        <w:rPr>
          <w:sz w:val="24"/>
        </w:rPr>
        <w:t>flushing;</w:t>
      </w:r>
    </w:p>
    <w:p>
      <w:pPr>
        <w:pStyle w:val="BodyText"/>
        <w:spacing w:before="10"/>
        <w:rPr>
          <w:sz w:val="20"/>
        </w:rPr>
      </w:pPr>
    </w:p>
    <w:p>
      <w:pPr>
        <w:pStyle w:val="ListParagraph"/>
        <w:numPr>
          <w:ilvl w:val="2"/>
          <w:numId w:val="4"/>
        </w:numPr>
        <w:tabs>
          <w:tab w:pos="1100" w:val="left" w:leader="none"/>
          <w:tab w:pos="1101" w:val="left" w:leader="none"/>
        </w:tabs>
        <w:spacing w:line="240" w:lineRule="auto" w:before="0" w:after="0"/>
        <w:ind w:left="1100" w:right="2059" w:hanging="821"/>
        <w:jc w:val="left"/>
        <w:rPr>
          <w:sz w:val="24"/>
        </w:rPr>
      </w:pPr>
      <w:r>
        <w:rPr>
          <w:sz w:val="24"/>
        </w:rPr>
        <w:t>Potable water sources including potable water related to the operation, maintenance, or testing of potable water</w:t>
      </w:r>
      <w:r>
        <w:rPr>
          <w:spacing w:val="-7"/>
          <w:sz w:val="24"/>
        </w:rPr>
        <w:t> </w:t>
      </w:r>
      <w:r>
        <w:rPr>
          <w:sz w:val="24"/>
        </w:rPr>
        <w:t>systems;</w:t>
      </w:r>
    </w:p>
    <w:p>
      <w:pPr>
        <w:pStyle w:val="BodyText"/>
        <w:spacing w:before="10"/>
        <w:rPr>
          <w:sz w:val="20"/>
        </w:rPr>
      </w:pPr>
    </w:p>
    <w:p>
      <w:pPr>
        <w:pStyle w:val="ListParagraph"/>
        <w:numPr>
          <w:ilvl w:val="2"/>
          <w:numId w:val="4"/>
        </w:numPr>
        <w:tabs>
          <w:tab w:pos="1100" w:val="left" w:leader="none"/>
          <w:tab w:pos="1101" w:val="left" w:leader="none"/>
        </w:tabs>
        <w:spacing w:line="240" w:lineRule="auto" w:before="0" w:after="0"/>
        <w:ind w:left="1100" w:right="1190" w:hanging="821"/>
        <w:jc w:val="left"/>
        <w:rPr>
          <w:sz w:val="24"/>
        </w:rPr>
      </w:pPr>
      <w:r>
        <w:rPr>
          <w:sz w:val="24"/>
        </w:rPr>
        <w:t>Drinking fountain water and atmospheric condensate including refrigeration, air conditioning, and compressor</w:t>
      </w:r>
      <w:r>
        <w:rPr>
          <w:spacing w:val="-2"/>
          <w:sz w:val="24"/>
        </w:rPr>
        <w:t> </w:t>
      </w:r>
      <w:r>
        <w:rPr>
          <w:sz w:val="24"/>
        </w:rPr>
        <w:t>condensate;</w:t>
      </w:r>
    </w:p>
    <w:p>
      <w:pPr>
        <w:pStyle w:val="BodyText"/>
        <w:spacing w:before="10"/>
        <w:rPr>
          <w:sz w:val="20"/>
        </w:rPr>
      </w:pPr>
    </w:p>
    <w:p>
      <w:pPr>
        <w:pStyle w:val="ListParagraph"/>
        <w:numPr>
          <w:ilvl w:val="2"/>
          <w:numId w:val="4"/>
        </w:numPr>
        <w:tabs>
          <w:tab w:pos="1100" w:val="left" w:leader="none"/>
          <w:tab w:pos="1101" w:val="left" w:leader="none"/>
        </w:tabs>
        <w:spacing w:line="240" w:lineRule="auto" w:before="0" w:after="0"/>
        <w:ind w:left="1100" w:right="1124" w:hanging="821"/>
        <w:jc w:val="left"/>
        <w:rPr>
          <w:sz w:val="24"/>
        </w:rPr>
      </w:pPr>
      <w:r>
        <w:rPr>
          <w:sz w:val="24"/>
        </w:rPr>
        <w:t>Uncontaminated natural springs, groundwater, foundation drainage, and footing drainage;</w:t>
      </w:r>
    </w:p>
    <w:p>
      <w:pPr>
        <w:pStyle w:val="BodyText"/>
        <w:spacing w:before="10"/>
        <w:rPr>
          <w:sz w:val="20"/>
        </w:rPr>
      </w:pPr>
    </w:p>
    <w:p>
      <w:pPr>
        <w:pStyle w:val="ListParagraph"/>
        <w:numPr>
          <w:ilvl w:val="2"/>
          <w:numId w:val="4"/>
        </w:numPr>
        <w:tabs>
          <w:tab w:pos="1100" w:val="left" w:leader="none"/>
          <w:tab w:pos="1101" w:val="left" w:leader="none"/>
        </w:tabs>
        <w:spacing w:line="240" w:lineRule="auto" w:before="0" w:after="0"/>
        <w:ind w:left="1100" w:right="0" w:hanging="821"/>
        <w:jc w:val="left"/>
        <w:rPr>
          <w:sz w:val="24"/>
        </w:rPr>
      </w:pPr>
      <w:r>
        <w:rPr>
          <w:sz w:val="24"/>
        </w:rPr>
        <w:t>Seawater infiltration where the seawater is discharged back into the source;</w:t>
      </w:r>
      <w:r>
        <w:rPr>
          <w:spacing w:val="-22"/>
          <w:sz w:val="24"/>
        </w:rPr>
        <w:t> </w:t>
      </w:r>
      <w:r>
        <w:rPr>
          <w:sz w:val="24"/>
        </w:rPr>
        <w:t>and</w:t>
      </w:r>
    </w:p>
    <w:p>
      <w:pPr>
        <w:pStyle w:val="BodyText"/>
        <w:spacing w:before="10"/>
        <w:rPr>
          <w:sz w:val="20"/>
        </w:rPr>
      </w:pPr>
    </w:p>
    <w:p>
      <w:pPr>
        <w:pStyle w:val="ListParagraph"/>
        <w:numPr>
          <w:ilvl w:val="2"/>
          <w:numId w:val="4"/>
        </w:numPr>
        <w:tabs>
          <w:tab w:pos="1100" w:val="left" w:leader="none"/>
          <w:tab w:pos="1101" w:val="left" w:leader="none"/>
        </w:tabs>
        <w:spacing w:line="240" w:lineRule="auto" w:before="1" w:after="0"/>
        <w:ind w:left="1100" w:right="1298" w:hanging="821"/>
        <w:jc w:val="left"/>
        <w:rPr>
          <w:sz w:val="24"/>
        </w:rPr>
      </w:pPr>
      <w:r>
        <w:rPr>
          <w:sz w:val="24"/>
        </w:rPr>
        <w:t>Incidental windblown mist from cooling towers that collects on rooftops or adjacent portions of the facility, but not intentional discharges from the cooling tower (e.g., piped cooling tower blowdown or</w:t>
      </w:r>
      <w:r>
        <w:rPr>
          <w:spacing w:val="-5"/>
          <w:sz w:val="24"/>
        </w:rPr>
        <w:t> </w:t>
      </w:r>
      <w:r>
        <w:rPr>
          <w:sz w:val="24"/>
        </w:rPr>
        <w:t>drains).</w:t>
      </w:r>
    </w:p>
    <w:p>
      <w:pPr>
        <w:pStyle w:val="BodyText"/>
        <w:spacing w:before="9"/>
        <w:rPr>
          <w:sz w:val="20"/>
        </w:rPr>
      </w:pPr>
    </w:p>
    <w:p>
      <w:pPr>
        <w:pStyle w:val="Heading1"/>
        <w:numPr>
          <w:ilvl w:val="1"/>
          <w:numId w:val="4"/>
        </w:numPr>
        <w:tabs>
          <w:tab w:pos="871" w:val="left" w:leader="none"/>
        </w:tabs>
        <w:spacing w:line="240" w:lineRule="auto" w:before="1" w:after="0"/>
        <w:ind w:left="870" w:right="0" w:hanging="591"/>
        <w:jc w:val="left"/>
      </w:pPr>
      <w:bookmarkStart w:name="_TOC_250032" w:id="20"/>
      <w:r>
        <w:rPr/>
        <w:t>Authorized NSWD</w:t>
      </w:r>
      <w:r>
        <w:rPr>
          <w:spacing w:val="-1"/>
        </w:rPr>
        <w:t> </w:t>
      </w:r>
      <w:bookmarkEnd w:id="20"/>
      <w:r>
        <w:rPr/>
        <w:t>Requirements.</w:t>
      </w:r>
    </w:p>
    <w:p>
      <w:pPr>
        <w:pStyle w:val="BodyText"/>
        <w:spacing w:before="11"/>
        <w:rPr>
          <w:b/>
          <w:sz w:val="23"/>
        </w:rPr>
      </w:pPr>
    </w:p>
    <w:p>
      <w:pPr>
        <w:pStyle w:val="BodyText"/>
        <w:ind w:left="870" w:right="1579"/>
      </w:pPr>
      <w:r>
        <w:rPr/>
        <w:t>The NSWDs identified in section 5.1 above are authorized by this Order if the following conditions are met:</w:t>
      </w:r>
    </w:p>
    <w:p>
      <w:pPr>
        <w:pStyle w:val="BodyText"/>
        <w:spacing w:before="10"/>
        <w:rPr>
          <w:sz w:val="20"/>
        </w:rPr>
      </w:pPr>
    </w:p>
    <w:p>
      <w:pPr>
        <w:pStyle w:val="ListParagraph"/>
        <w:numPr>
          <w:ilvl w:val="2"/>
          <w:numId w:val="4"/>
        </w:numPr>
        <w:tabs>
          <w:tab w:pos="1101" w:val="left" w:leader="none"/>
        </w:tabs>
        <w:spacing w:line="240" w:lineRule="auto" w:before="0" w:after="0"/>
        <w:ind w:left="1100" w:right="1138" w:hanging="821"/>
        <w:jc w:val="both"/>
        <w:rPr>
          <w:sz w:val="24"/>
        </w:rPr>
      </w:pPr>
      <w:r>
        <w:rPr>
          <w:sz w:val="24"/>
        </w:rPr>
        <w:t>The authorized NSWDs comply with the Los Angeles Region Basin Plan for the Coastal Watersheds of Los Angeles and Ventura Counties (Basin Plan), and all applicable State-wide water quality control plans and</w:t>
      </w:r>
      <w:r>
        <w:rPr>
          <w:spacing w:val="-9"/>
          <w:sz w:val="24"/>
        </w:rPr>
        <w:t> </w:t>
      </w:r>
      <w:r>
        <w:rPr>
          <w:sz w:val="24"/>
        </w:rPr>
        <w:t>policies.</w:t>
      </w:r>
    </w:p>
    <w:p>
      <w:pPr>
        <w:pStyle w:val="BodyText"/>
        <w:spacing w:before="10"/>
        <w:rPr>
          <w:sz w:val="20"/>
        </w:rPr>
      </w:pPr>
    </w:p>
    <w:p>
      <w:pPr>
        <w:pStyle w:val="ListParagraph"/>
        <w:numPr>
          <w:ilvl w:val="2"/>
          <w:numId w:val="4"/>
        </w:numPr>
        <w:tabs>
          <w:tab w:pos="1100" w:val="left" w:leader="none"/>
          <w:tab w:pos="1101" w:val="left" w:leader="none"/>
        </w:tabs>
        <w:spacing w:line="240" w:lineRule="auto" w:before="0" w:after="0"/>
        <w:ind w:left="1100" w:right="1261" w:hanging="821"/>
        <w:jc w:val="left"/>
        <w:rPr>
          <w:sz w:val="24"/>
        </w:rPr>
      </w:pPr>
      <w:r>
        <w:rPr>
          <w:sz w:val="24"/>
        </w:rPr>
        <w:t>The authorized NSWDs are not in violation of any municipal agency</w:t>
      </w:r>
      <w:r>
        <w:rPr>
          <w:spacing w:val="-46"/>
          <w:sz w:val="24"/>
        </w:rPr>
        <w:t> </w:t>
      </w:r>
      <w:r>
        <w:rPr>
          <w:sz w:val="24"/>
        </w:rPr>
        <w:t>ordinance or requirement, and are consistent with the Discharger’s agreement, if any, under section 8.1 of this</w:t>
      </w:r>
      <w:r>
        <w:rPr>
          <w:spacing w:val="-1"/>
          <w:sz w:val="24"/>
        </w:rPr>
        <w:t> </w:t>
      </w:r>
      <w:r>
        <w:rPr>
          <w:sz w:val="24"/>
        </w:rPr>
        <w:t>Order.</w:t>
      </w:r>
    </w:p>
    <w:p>
      <w:pPr>
        <w:pStyle w:val="BodyText"/>
        <w:spacing w:before="10"/>
        <w:rPr>
          <w:sz w:val="20"/>
        </w:rPr>
      </w:pPr>
    </w:p>
    <w:p>
      <w:pPr>
        <w:pStyle w:val="ListParagraph"/>
        <w:numPr>
          <w:ilvl w:val="2"/>
          <w:numId w:val="4"/>
        </w:numPr>
        <w:tabs>
          <w:tab w:pos="1100" w:val="left" w:leader="none"/>
          <w:tab w:pos="1101" w:val="left" w:leader="none"/>
        </w:tabs>
        <w:spacing w:line="240" w:lineRule="auto" w:before="0" w:after="0"/>
        <w:ind w:left="1100" w:right="0" w:hanging="822"/>
        <w:jc w:val="left"/>
        <w:rPr>
          <w:sz w:val="24"/>
        </w:rPr>
      </w:pPr>
      <w:r>
        <w:rPr>
          <w:sz w:val="24"/>
        </w:rPr>
        <w:t>Best Management Practices (BMPs) are implemented</w:t>
      </w:r>
      <w:r>
        <w:rPr>
          <w:spacing w:val="-4"/>
          <w:sz w:val="24"/>
        </w:rPr>
        <w:t> </w:t>
      </w:r>
      <w:r>
        <w:rPr>
          <w:sz w:val="24"/>
        </w:rPr>
        <w:t>to:</w:t>
      </w:r>
    </w:p>
    <w:p>
      <w:pPr>
        <w:pStyle w:val="BodyText"/>
        <w:spacing w:before="9"/>
        <w:rPr>
          <w:sz w:val="20"/>
        </w:rPr>
      </w:pPr>
    </w:p>
    <w:p>
      <w:pPr>
        <w:pStyle w:val="ListParagraph"/>
        <w:numPr>
          <w:ilvl w:val="3"/>
          <w:numId w:val="4"/>
        </w:numPr>
        <w:tabs>
          <w:tab w:pos="1359" w:val="left" w:leader="none"/>
          <w:tab w:pos="1360" w:val="left" w:leader="none"/>
        </w:tabs>
        <w:spacing w:line="240" w:lineRule="auto" w:before="0" w:after="0"/>
        <w:ind w:left="1360" w:right="1895" w:hanging="1080"/>
        <w:jc w:val="left"/>
        <w:rPr>
          <w:sz w:val="24"/>
        </w:rPr>
      </w:pPr>
      <w:r>
        <w:rPr>
          <w:sz w:val="24"/>
        </w:rPr>
        <w:t>Reduce or prevent the contact of authorized NSWDs with materials or equipment that are potential sources of</w:t>
      </w:r>
      <w:r>
        <w:rPr>
          <w:spacing w:val="-5"/>
          <w:sz w:val="24"/>
        </w:rPr>
        <w:t> </w:t>
      </w:r>
      <w:r>
        <w:rPr>
          <w:sz w:val="24"/>
        </w:rPr>
        <w:t>pollutants;</w:t>
      </w:r>
    </w:p>
    <w:p>
      <w:pPr>
        <w:pStyle w:val="BodyText"/>
        <w:spacing w:before="10"/>
        <w:rPr>
          <w:sz w:val="20"/>
        </w:rPr>
      </w:pPr>
    </w:p>
    <w:p>
      <w:pPr>
        <w:pStyle w:val="ListParagraph"/>
        <w:numPr>
          <w:ilvl w:val="3"/>
          <w:numId w:val="4"/>
        </w:numPr>
        <w:tabs>
          <w:tab w:pos="1359" w:val="left" w:leader="none"/>
          <w:tab w:pos="1360" w:val="left" w:leader="none"/>
        </w:tabs>
        <w:spacing w:line="240" w:lineRule="auto" w:before="0" w:after="0"/>
        <w:ind w:left="1359" w:right="0" w:hanging="1080"/>
        <w:jc w:val="left"/>
        <w:rPr>
          <w:sz w:val="24"/>
        </w:rPr>
      </w:pPr>
      <w:r>
        <w:rPr>
          <w:sz w:val="24"/>
        </w:rPr>
        <w:t>Reduce, to the extent practicable, the flow or volume of authorized</w:t>
      </w:r>
      <w:r>
        <w:rPr>
          <w:spacing w:val="-18"/>
          <w:sz w:val="24"/>
        </w:rPr>
        <w:t> </w:t>
      </w:r>
      <w:r>
        <w:rPr>
          <w:sz w:val="24"/>
        </w:rPr>
        <w:t>NSWDs;</w:t>
      </w:r>
    </w:p>
    <w:p>
      <w:pPr>
        <w:pStyle w:val="BodyText"/>
        <w:spacing w:before="10"/>
        <w:rPr>
          <w:sz w:val="20"/>
        </w:rPr>
      </w:pPr>
    </w:p>
    <w:p>
      <w:pPr>
        <w:pStyle w:val="ListParagraph"/>
        <w:numPr>
          <w:ilvl w:val="3"/>
          <w:numId w:val="4"/>
        </w:numPr>
        <w:tabs>
          <w:tab w:pos="1359" w:val="left" w:leader="none"/>
          <w:tab w:pos="1360" w:val="left" w:leader="none"/>
        </w:tabs>
        <w:spacing w:line="240" w:lineRule="auto" w:before="0" w:after="0"/>
        <w:ind w:left="1360" w:right="1466" w:hanging="1080"/>
        <w:jc w:val="left"/>
        <w:rPr>
          <w:sz w:val="24"/>
        </w:rPr>
      </w:pPr>
      <w:r>
        <w:rPr>
          <w:sz w:val="24"/>
        </w:rPr>
        <w:t>Ensure that authorized NSWDs do not contain quantities of pollutants that cause or contribute to an exceedance of a water quality standard;</w:t>
      </w:r>
      <w:r>
        <w:rPr>
          <w:spacing w:val="-31"/>
          <w:sz w:val="24"/>
        </w:rPr>
        <w:t> </w:t>
      </w:r>
      <w:r>
        <w:rPr>
          <w:sz w:val="24"/>
        </w:rPr>
        <w:t>and</w:t>
      </w:r>
    </w:p>
    <w:p>
      <w:pPr>
        <w:pStyle w:val="BodyText"/>
        <w:spacing w:before="10"/>
        <w:rPr>
          <w:sz w:val="20"/>
        </w:rPr>
      </w:pPr>
    </w:p>
    <w:p>
      <w:pPr>
        <w:pStyle w:val="ListParagraph"/>
        <w:numPr>
          <w:ilvl w:val="3"/>
          <w:numId w:val="4"/>
        </w:numPr>
        <w:tabs>
          <w:tab w:pos="1359" w:val="left" w:leader="none"/>
          <w:tab w:pos="1360" w:val="left" w:leader="none"/>
        </w:tabs>
        <w:spacing w:line="240" w:lineRule="auto" w:before="0" w:after="0"/>
        <w:ind w:left="1359" w:right="1041" w:hanging="1080"/>
        <w:jc w:val="left"/>
        <w:rPr>
          <w:sz w:val="24"/>
        </w:rPr>
      </w:pPr>
      <w:r>
        <w:rPr>
          <w:sz w:val="24"/>
        </w:rPr>
        <w:t>Reduce or prevent discharges of pollutants in authorized NSWDs in a manner that reflects best industry practice considering technological availability and economic practicability and</w:t>
      </w:r>
      <w:r>
        <w:rPr>
          <w:spacing w:val="-2"/>
          <w:sz w:val="24"/>
        </w:rPr>
        <w:t> </w:t>
      </w:r>
      <w:r>
        <w:rPr>
          <w:sz w:val="24"/>
        </w:rPr>
        <w:t>achievability.</w:t>
      </w:r>
    </w:p>
    <w:p>
      <w:pPr>
        <w:pStyle w:val="BodyText"/>
        <w:spacing w:before="10"/>
        <w:rPr>
          <w:sz w:val="20"/>
        </w:rPr>
      </w:pPr>
    </w:p>
    <w:p>
      <w:pPr>
        <w:pStyle w:val="ListParagraph"/>
        <w:numPr>
          <w:ilvl w:val="2"/>
          <w:numId w:val="4"/>
        </w:numPr>
        <w:tabs>
          <w:tab w:pos="1099" w:val="left" w:leader="none"/>
          <w:tab w:pos="1100" w:val="left" w:leader="none"/>
        </w:tabs>
        <w:spacing w:line="240" w:lineRule="auto" w:before="1" w:after="0"/>
        <w:ind w:left="1100" w:right="1421" w:hanging="821"/>
        <w:jc w:val="left"/>
        <w:rPr>
          <w:sz w:val="24"/>
        </w:rPr>
      </w:pPr>
      <w:r>
        <w:rPr>
          <w:sz w:val="24"/>
        </w:rPr>
        <w:t>The Discharger identifies all NSWDs in the site-specific Stormwater Pollution Prevention Plan.</w:t>
      </w:r>
    </w:p>
    <w:p>
      <w:pPr>
        <w:spacing w:after="0" w:line="240" w:lineRule="auto"/>
        <w:jc w:val="left"/>
        <w:rPr>
          <w:sz w:val="24"/>
        </w:rPr>
        <w:sectPr>
          <w:pgSz w:w="12240" w:h="15840"/>
          <w:pgMar w:header="728" w:footer="788" w:top="1540" w:bottom="980" w:left="1160" w:right="420"/>
        </w:sectPr>
      </w:pPr>
    </w:p>
    <w:p>
      <w:pPr>
        <w:pStyle w:val="BodyText"/>
        <w:spacing w:before="11"/>
        <w:rPr>
          <w:sz w:val="15"/>
        </w:rPr>
      </w:pPr>
    </w:p>
    <w:p>
      <w:pPr>
        <w:pStyle w:val="Heading1"/>
        <w:spacing w:before="92"/>
        <w:ind w:left="280"/>
      </w:pPr>
      <w:bookmarkStart w:name="_TOC_250031" w:id="21"/>
      <w:r>
        <w:rPr>
          <w:b w:val="0"/>
        </w:rPr>
        <w:t>5.3. </w:t>
      </w:r>
      <w:bookmarkEnd w:id="21"/>
      <w:r>
        <w:rPr/>
        <w:t>Emergency Firefighting-related Discharges.</w:t>
      </w:r>
    </w:p>
    <w:p>
      <w:pPr>
        <w:pStyle w:val="BodyText"/>
        <w:rPr>
          <w:b/>
        </w:rPr>
      </w:pPr>
    </w:p>
    <w:p>
      <w:pPr>
        <w:pStyle w:val="BodyText"/>
        <w:ind w:left="870" w:right="1038"/>
      </w:pPr>
      <w:r>
        <w:rPr/>
        <w:t>NSWDs from emergency firefighting activities (i.e., discharges resulting from water use necessary for the protection of life or property from fire) are not subject to this General Permit. These discharges, however, may be subject to Los Angeles Water Board enforcement actions under other sections of the CWC. Firefighting related discharges that are contained and later discharged may be subjected to municipal agency ordinances and/or other Los Angeles Water Board requirements.</w:t>
      </w:r>
    </w:p>
    <w:p>
      <w:pPr>
        <w:pStyle w:val="BodyText"/>
        <w:spacing w:before="10"/>
        <w:rPr>
          <w:sz w:val="20"/>
        </w:rPr>
      </w:pPr>
    </w:p>
    <w:p>
      <w:pPr>
        <w:pStyle w:val="Heading1"/>
        <w:numPr>
          <w:ilvl w:val="0"/>
          <w:numId w:val="4"/>
        </w:numPr>
        <w:tabs>
          <w:tab w:pos="640" w:val="left" w:leader="none"/>
        </w:tabs>
        <w:spacing w:line="240" w:lineRule="auto" w:before="0" w:after="0"/>
        <w:ind w:left="639" w:right="0" w:hanging="361"/>
        <w:jc w:val="left"/>
      </w:pPr>
      <w:r>
        <w:rPr/>
        <w:t>REQUIREMENTS FOR STORMWATER POLLUTION PREVENTION</w:t>
      </w:r>
      <w:r>
        <w:rPr>
          <w:spacing w:val="-6"/>
        </w:rPr>
        <w:t> </w:t>
      </w:r>
      <w:r>
        <w:rPr/>
        <w:t>PLANS.</w:t>
      </w:r>
    </w:p>
    <w:p>
      <w:pPr>
        <w:pStyle w:val="BodyText"/>
        <w:rPr>
          <w:b/>
        </w:rPr>
      </w:pPr>
    </w:p>
    <w:p>
      <w:pPr>
        <w:pStyle w:val="BodyText"/>
        <w:spacing w:before="1"/>
        <w:ind w:left="639" w:right="1090"/>
      </w:pPr>
      <w:r>
        <w:rPr/>
        <w:t>Dischargers shall (1) develop and (2) implement a site-specific Stormwater Pollution Prevention Plan for each CII site covered under this General Permit that shall contain the following elements:</w:t>
      </w:r>
    </w:p>
    <w:p>
      <w:pPr>
        <w:pStyle w:val="BodyText"/>
        <w:spacing w:before="9"/>
        <w:rPr>
          <w:sz w:val="20"/>
        </w:rPr>
      </w:pPr>
    </w:p>
    <w:p>
      <w:pPr>
        <w:pStyle w:val="Heading1"/>
        <w:numPr>
          <w:ilvl w:val="1"/>
          <w:numId w:val="4"/>
        </w:numPr>
        <w:tabs>
          <w:tab w:pos="871" w:val="left" w:leader="none"/>
        </w:tabs>
        <w:spacing w:line="240" w:lineRule="auto" w:before="1" w:after="0"/>
        <w:ind w:left="870" w:right="0" w:hanging="592"/>
        <w:jc w:val="left"/>
      </w:pPr>
      <w:bookmarkStart w:name="_TOC_250030" w:id="22"/>
      <w:r>
        <w:rPr/>
        <w:t>Facility Name and Contact</w:t>
      </w:r>
      <w:r>
        <w:rPr>
          <w:spacing w:val="-1"/>
        </w:rPr>
        <w:t> </w:t>
      </w:r>
      <w:bookmarkEnd w:id="22"/>
      <w:r>
        <w:rPr/>
        <w:t>Information.</w:t>
      </w:r>
    </w:p>
    <w:p>
      <w:pPr>
        <w:pStyle w:val="BodyText"/>
        <w:spacing w:before="11"/>
        <w:rPr>
          <w:b/>
          <w:sz w:val="23"/>
        </w:rPr>
      </w:pPr>
    </w:p>
    <w:p>
      <w:pPr>
        <w:pStyle w:val="BodyText"/>
        <w:ind w:left="870" w:right="1078"/>
      </w:pPr>
      <w:r>
        <w:rPr/>
        <w:t>Each Stormwater Pollution Prevention Plan shall have a cover page that identifies the</w:t>
      </w:r>
      <w:r>
        <w:rPr>
          <w:spacing w:val="-6"/>
        </w:rPr>
        <w:t> </w:t>
      </w:r>
      <w:r>
        <w:rPr/>
        <w:t>applicable</w:t>
      </w:r>
      <w:r>
        <w:rPr>
          <w:spacing w:val="-5"/>
        </w:rPr>
        <w:t> </w:t>
      </w:r>
      <w:r>
        <w:rPr/>
        <w:t>facility,</w:t>
      </w:r>
      <w:r>
        <w:rPr>
          <w:spacing w:val="-5"/>
        </w:rPr>
        <w:t> </w:t>
      </w:r>
      <w:r>
        <w:rPr/>
        <w:t>hours</w:t>
      </w:r>
      <w:r>
        <w:rPr>
          <w:spacing w:val="-6"/>
        </w:rPr>
        <w:t> </w:t>
      </w:r>
      <w:r>
        <w:rPr/>
        <w:t>of</w:t>
      </w:r>
      <w:r>
        <w:rPr>
          <w:spacing w:val="-5"/>
        </w:rPr>
        <w:t> </w:t>
      </w:r>
      <w:r>
        <w:rPr/>
        <w:t>operation,</w:t>
      </w:r>
      <w:r>
        <w:rPr>
          <w:spacing w:val="-6"/>
        </w:rPr>
        <w:t> </w:t>
      </w:r>
      <w:r>
        <w:rPr/>
        <w:t>and</w:t>
      </w:r>
      <w:r>
        <w:rPr>
          <w:spacing w:val="-5"/>
        </w:rPr>
        <w:t> </w:t>
      </w:r>
      <w:r>
        <w:rPr/>
        <w:t>facility</w:t>
      </w:r>
      <w:r>
        <w:rPr>
          <w:spacing w:val="-5"/>
        </w:rPr>
        <w:t> </w:t>
      </w:r>
      <w:r>
        <w:rPr/>
        <w:t>contact</w:t>
      </w:r>
      <w:r>
        <w:rPr>
          <w:spacing w:val="-6"/>
        </w:rPr>
        <w:t> </w:t>
      </w:r>
      <w:r>
        <w:rPr/>
        <w:t>information,</w:t>
      </w:r>
      <w:r>
        <w:rPr>
          <w:spacing w:val="-5"/>
        </w:rPr>
        <w:t> </w:t>
      </w:r>
      <w:r>
        <w:rPr/>
        <w:t>including address, primary contact staff (name, position, phone number, and email address), and staff in charge during hours of operation (name, position, phone number, and email</w:t>
      </w:r>
      <w:r>
        <w:rPr>
          <w:spacing w:val="-1"/>
        </w:rPr>
        <w:t> </w:t>
      </w:r>
      <w:r>
        <w:rPr/>
        <w:t>address).</w:t>
      </w:r>
    </w:p>
    <w:p>
      <w:pPr>
        <w:pStyle w:val="BodyText"/>
        <w:spacing w:before="9"/>
        <w:rPr>
          <w:sz w:val="20"/>
        </w:rPr>
      </w:pPr>
    </w:p>
    <w:p>
      <w:pPr>
        <w:pStyle w:val="Heading1"/>
        <w:numPr>
          <w:ilvl w:val="1"/>
          <w:numId w:val="4"/>
        </w:numPr>
        <w:tabs>
          <w:tab w:pos="871" w:val="left" w:leader="none"/>
        </w:tabs>
        <w:spacing w:line="240" w:lineRule="auto" w:before="0" w:after="0"/>
        <w:ind w:left="870" w:right="0" w:hanging="592"/>
        <w:jc w:val="left"/>
      </w:pPr>
      <w:bookmarkStart w:name="_TOC_250029" w:id="23"/>
      <w:r>
        <w:rPr/>
        <w:t>Stormwater Pollution Prevention</w:t>
      </w:r>
      <w:r>
        <w:rPr>
          <w:spacing w:val="-2"/>
        </w:rPr>
        <w:t> </w:t>
      </w:r>
      <w:bookmarkEnd w:id="23"/>
      <w:r>
        <w:rPr/>
        <w:t>Team.</w:t>
      </w:r>
    </w:p>
    <w:p>
      <w:pPr>
        <w:pStyle w:val="BodyText"/>
        <w:rPr>
          <w:b/>
        </w:rPr>
      </w:pPr>
    </w:p>
    <w:p>
      <w:pPr>
        <w:pStyle w:val="BodyText"/>
        <w:ind w:left="870" w:right="1192"/>
      </w:pPr>
      <w:r>
        <w:rPr/>
        <w:t>Each facility must have a Stormwater Pollution Prevention Team established and responsible for assisting with the implementation of the requirements in this General Permit. The Discharger shall include in the Stormwater Pollution Prevention Plan detailed information about its Stormwater Pollution Prevention Team including:</w:t>
      </w:r>
    </w:p>
    <w:p>
      <w:pPr>
        <w:pStyle w:val="BodyText"/>
        <w:spacing w:before="10"/>
        <w:rPr>
          <w:sz w:val="20"/>
        </w:rPr>
      </w:pPr>
    </w:p>
    <w:p>
      <w:pPr>
        <w:pStyle w:val="ListParagraph"/>
        <w:numPr>
          <w:ilvl w:val="2"/>
          <w:numId w:val="4"/>
        </w:numPr>
        <w:tabs>
          <w:tab w:pos="1100" w:val="left" w:leader="none"/>
          <w:tab w:pos="1101" w:val="left" w:leader="none"/>
        </w:tabs>
        <w:spacing w:line="240" w:lineRule="auto" w:before="0" w:after="0"/>
        <w:ind w:left="1100" w:right="1048" w:hanging="821"/>
        <w:jc w:val="left"/>
        <w:rPr>
          <w:sz w:val="24"/>
        </w:rPr>
      </w:pPr>
      <w:r>
        <w:rPr>
          <w:sz w:val="24"/>
        </w:rPr>
        <w:t>The</w:t>
      </w:r>
      <w:r>
        <w:rPr>
          <w:spacing w:val="-5"/>
          <w:sz w:val="24"/>
        </w:rPr>
        <w:t> </w:t>
      </w:r>
      <w:r>
        <w:rPr>
          <w:sz w:val="24"/>
        </w:rPr>
        <w:t>positions</w:t>
      </w:r>
      <w:r>
        <w:rPr>
          <w:spacing w:val="-5"/>
          <w:sz w:val="24"/>
        </w:rPr>
        <w:t> </w:t>
      </w:r>
      <w:r>
        <w:rPr>
          <w:sz w:val="24"/>
        </w:rPr>
        <w:t>within</w:t>
      </w:r>
      <w:r>
        <w:rPr>
          <w:spacing w:val="-5"/>
          <w:sz w:val="24"/>
        </w:rPr>
        <w:t> </w:t>
      </w:r>
      <w:r>
        <w:rPr>
          <w:sz w:val="24"/>
        </w:rPr>
        <w:t>the</w:t>
      </w:r>
      <w:r>
        <w:rPr>
          <w:spacing w:val="-5"/>
          <w:sz w:val="24"/>
        </w:rPr>
        <w:t> </w:t>
      </w:r>
      <w:r>
        <w:rPr>
          <w:sz w:val="24"/>
        </w:rPr>
        <w:t>organization</w:t>
      </w:r>
      <w:r>
        <w:rPr>
          <w:spacing w:val="-5"/>
          <w:sz w:val="24"/>
        </w:rPr>
        <w:t> </w:t>
      </w:r>
      <w:r>
        <w:rPr>
          <w:sz w:val="24"/>
        </w:rPr>
        <w:t>who</w:t>
      </w:r>
      <w:r>
        <w:rPr>
          <w:spacing w:val="-4"/>
          <w:sz w:val="24"/>
        </w:rPr>
        <w:t> </w:t>
      </w:r>
      <w:r>
        <w:rPr>
          <w:sz w:val="24"/>
        </w:rPr>
        <w:t>assist</w:t>
      </w:r>
      <w:r>
        <w:rPr>
          <w:spacing w:val="-5"/>
          <w:sz w:val="24"/>
        </w:rPr>
        <w:t> </w:t>
      </w:r>
      <w:r>
        <w:rPr>
          <w:sz w:val="24"/>
        </w:rPr>
        <w:t>in</w:t>
      </w:r>
      <w:r>
        <w:rPr>
          <w:spacing w:val="-5"/>
          <w:sz w:val="24"/>
        </w:rPr>
        <w:t> </w:t>
      </w:r>
      <w:r>
        <w:rPr>
          <w:sz w:val="24"/>
        </w:rPr>
        <w:t>implementing</w:t>
      </w:r>
      <w:r>
        <w:rPr>
          <w:spacing w:val="-5"/>
          <w:sz w:val="24"/>
        </w:rPr>
        <w:t> </w:t>
      </w:r>
      <w:r>
        <w:rPr>
          <w:sz w:val="24"/>
        </w:rPr>
        <w:t>the</w:t>
      </w:r>
      <w:r>
        <w:rPr>
          <w:spacing w:val="-5"/>
          <w:sz w:val="24"/>
        </w:rPr>
        <w:t> </w:t>
      </w:r>
      <w:r>
        <w:rPr>
          <w:sz w:val="24"/>
        </w:rPr>
        <w:t>Stormwater Pollution Prevention Plan;</w:t>
      </w:r>
      <w:r>
        <w:rPr>
          <w:spacing w:val="-1"/>
          <w:sz w:val="24"/>
        </w:rPr>
        <w:t> </w:t>
      </w:r>
      <w:r>
        <w:rPr>
          <w:sz w:val="24"/>
        </w:rPr>
        <w:t>and</w:t>
      </w:r>
    </w:p>
    <w:p>
      <w:pPr>
        <w:pStyle w:val="BodyText"/>
        <w:spacing w:before="10"/>
        <w:rPr>
          <w:sz w:val="20"/>
        </w:rPr>
      </w:pPr>
    </w:p>
    <w:p>
      <w:pPr>
        <w:pStyle w:val="ListParagraph"/>
        <w:numPr>
          <w:ilvl w:val="2"/>
          <w:numId w:val="4"/>
        </w:numPr>
        <w:tabs>
          <w:tab w:pos="1100" w:val="left" w:leader="none"/>
          <w:tab w:pos="1101" w:val="left" w:leader="none"/>
        </w:tabs>
        <w:spacing w:line="240" w:lineRule="auto" w:before="0" w:after="0"/>
        <w:ind w:left="1100" w:right="0" w:hanging="822"/>
        <w:jc w:val="left"/>
        <w:rPr>
          <w:sz w:val="24"/>
        </w:rPr>
      </w:pPr>
      <w:r>
        <w:rPr>
          <w:sz w:val="24"/>
        </w:rPr>
        <w:t>The responsibilities, duties, and activities of each of the team</w:t>
      </w:r>
      <w:r>
        <w:rPr>
          <w:spacing w:val="-12"/>
          <w:sz w:val="24"/>
        </w:rPr>
        <w:t> </w:t>
      </w:r>
      <w:r>
        <w:rPr>
          <w:sz w:val="24"/>
        </w:rPr>
        <w:t>members.</w:t>
      </w:r>
    </w:p>
    <w:p>
      <w:pPr>
        <w:pStyle w:val="BodyText"/>
        <w:spacing w:before="10"/>
        <w:rPr>
          <w:sz w:val="20"/>
        </w:rPr>
      </w:pPr>
    </w:p>
    <w:p>
      <w:pPr>
        <w:pStyle w:val="Heading1"/>
        <w:numPr>
          <w:ilvl w:val="1"/>
          <w:numId w:val="4"/>
        </w:numPr>
        <w:tabs>
          <w:tab w:pos="871" w:val="left" w:leader="none"/>
        </w:tabs>
        <w:spacing w:line="240" w:lineRule="auto" w:before="0" w:after="0"/>
        <w:ind w:left="870" w:right="0" w:hanging="592"/>
        <w:jc w:val="left"/>
      </w:pPr>
      <w:bookmarkStart w:name="_TOC_250028" w:id="24"/>
      <w:bookmarkEnd w:id="24"/>
      <w:r>
        <w:rPr/>
        <w:t>Site Map.</w:t>
      </w:r>
    </w:p>
    <w:p>
      <w:pPr>
        <w:pStyle w:val="BodyText"/>
        <w:rPr>
          <w:b/>
        </w:rPr>
      </w:pPr>
    </w:p>
    <w:p>
      <w:pPr>
        <w:pStyle w:val="BodyText"/>
        <w:ind w:left="870" w:right="1578"/>
      </w:pPr>
      <w:r>
        <w:rPr/>
        <w:t>The Discharger shall prepare a site map that includes notes, legends, a north arrow, and other data as appropriate to ensure the map is clear, legible, and understandable.</w:t>
      </w:r>
    </w:p>
    <w:p>
      <w:pPr>
        <w:pStyle w:val="BodyText"/>
        <w:spacing w:before="10"/>
        <w:rPr>
          <w:sz w:val="20"/>
        </w:rPr>
      </w:pPr>
    </w:p>
    <w:p>
      <w:pPr>
        <w:pStyle w:val="ListParagraph"/>
        <w:numPr>
          <w:ilvl w:val="2"/>
          <w:numId w:val="4"/>
        </w:numPr>
        <w:tabs>
          <w:tab w:pos="1100" w:val="left" w:leader="none"/>
          <w:tab w:pos="1101" w:val="left" w:leader="none"/>
        </w:tabs>
        <w:spacing w:line="240" w:lineRule="auto" w:before="1" w:after="0"/>
        <w:ind w:left="1100" w:right="0" w:hanging="822"/>
        <w:jc w:val="left"/>
        <w:rPr>
          <w:sz w:val="24"/>
        </w:rPr>
      </w:pPr>
      <w:r>
        <w:rPr>
          <w:sz w:val="24"/>
        </w:rPr>
        <w:t>The Discharger shall include the following information on the site</w:t>
      </w:r>
      <w:r>
        <w:rPr>
          <w:spacing w:val="-12"/>
          <w:sz w:val="24"/>
        </w:rPr>
        <w:t> </w:t>
      </w:r>
      <w:r>
        <w:rPr>
          <w:sz w:val="24"/>
        </w:rPr>
        <w:t>map:</w:t>
      </w:r>
    </w:p>
    <w:p>
      <w:pPr>
        <w:spacing w:after="0" w:line="240" w:lineRule="auto"/>
        <w:jc w:val="left"/>
        <w:rPr>
          <w:sz w:val="24"/>
        </w:rPr>
        <w:sectPr>
          <w:pgSz w:w="12240" w:h="15840"/>
          <w:pgMar w:header="728" w:footer="788" w:top="1540" w:bottom="980" w:left="1160" w:right="420"/>
        </w:sectPr>
      </w:pPr>
    </w:p>
    <w:p>
      <w:pPr>
        <w:pStyle w:val="BodyText"/>
        <w:spacing w:before="11"/>
        <w:rPr>
          <w:sz w:val="15"/>
        </w:rPr>
      </w:pPr>
    </w:p>
    <w:p>
      <w:pPr>
        <w:pStyle w:val="ListParagraph"/>
        <w:numPr>
          <w:ilvl w:val="3"/>
          <w:numId w:val="4"/>
        </w:numPr>
        <w:tabs>
          <w:tab w:pos="1359" w:val="left" w:leader="none"/>
          <w:tab w:pos="1360" w:val="left" w:leader="none"/>
        </w:tabs>
        <w:spacing w:line="240" w:lineRule="auto" w:before="92" w:after="0"/>
        <w:ind w:left="1360" w:right="1149" w:hanging="1080"/>
        <w:jc w:val="left"/>
        <w:rPr>
          <w:sz w:val="24"/>
        </w:rPr>
      </w:pPr>
      <w:r>
        <w:rPr>
          <w:sz w:val="24"/>
        </w:rPr>
        <w:t>Facility boundary and stormwater drainage areas within the facility</w:t>
      </w:r>
      <w:r>
        <w:rPr>
          <w:spacing w:val="-47"/>
          <w:sz w:val="24"/>
        </w:rPr>
        <w:t> </w:t>
      </w:r>
      <w:r>
        <w:rPr>
          <w:sz w:val="24"/>
        </w:rPr>
        <w:t>boundary. Include flow direction of each drainage area, on-facility surface waterbodies, areas of soil erosion, and location(s) or nearby waterbodies or municipal storm drain inlets that may receive the facility’s stormwater discharges and authorized NSWDs.</w:t>
      </w:r>
    </w:p>
    <w:p>
      <w:pPr>
        <w:pStyle w:val="BodyText"/>
        <w:spacing w:before="10"/>
        <w:rPr>
          <w:sz w:val="20"/>
        </w:rPr>
      </w:pPr>
    </w:p>
    <w:p>
      <w:pPr>
        <w:pStyle w:val="ListParagraph"/>
        <w:numPr>
          <w:ilvl w:val="3"/>
          <w:numId w:val="4"/>
        </w:numPr>
        <w:tabs>
          <w:tab w:pos="1359" w:val="left" w:leader="none"/>
          <w:tab w:pos="1360" w:val="left" w:leader="none"/>
        </w:tabs>
        <w:spacing w:line="240" w:lineRule="auto" w:before="0" w:after="0"/>
        <w:ind w:left="1360" w:right="1504" w:hanging="1080"/>
        <w:jc w:val="left"/>
        <w:rPr>
          <w:sz w:val="24"/>
        </w:rPr>
      </w:pPr>
      <w:r>
        <w:rPr>
          <w:sz w:val="24"/>
        </w:rPr>
        <w:t>Locations of stormwater collection and conveyance systems, associated discharge locations, and direction of flow. Include any sampling</w:t>
      </w:r>
      <w:r>
        <w:rPr>
          <w:spacing w:val="-33"/>
          <w:sz w:val="24"/>
        </w:rPr>
        <w:t> </w:t>
      </w:r>
      <w:r>
        <w:rPr>
          <w:sz w:val="24"/>
        </w:rPr>
        <w:t>locations.</w:t>
      </w:r>
    </w:p>
    <w:p>
      <w:pPr>
        <w:pStyle w:val="BodyText"/>
        <w:spacing w:before="10"/>
        <w:rPr>
          <w:sz w:val="20"/>
        </w:rPr>
      </w:pPr>
    </w:p>
    <w:p>
      <w:pPr>
        <w:pStyle w:val="ListParagraph"/>
        <w:numPr>
          <w:ilvl w:val="3"/>
          <w:numId w:val="4"/>
        </w:numPr>
        <w:tabs>
          <w:tab w:pos="1359" w:val="left" w:leader="none"/>
          <w:tab w:pos="1360" w:val="left" w:leader="none"/>
        </w:tabs>
        <w:spacing w:line="240" w:lineRule="auto" w:before="0" w:after="0"/>
        <w:ind w:left="1360" w:right="1134" w:hanging="1080"/>
        <w:jc w:val="left"/>
        <w:rPr>
          <w:sz w:val="24"/>
        </w:rPr>
      </w:pPr>
      <w:r>
        <w:rPr>
          <w:sz w:val="24"/>
        </w:rPr>
        <w:t>Locations and descriptions of structural control measures that treat or reduce stormwater discharges and/or authorized NSWDs. Examples of structural control measures are catch basins, berms, detention ponds, secondary containment, oil/water separators, diversion barriers, or forms of green infrastructure.</w:t>
      </w:r>
    </w:p>
    <w:p>
      <w:pPr>
        <w:pStyle w:val="BodyText"/>
        <w:spacing w:before="10"/>
        <w:rPr>
          <w:sz w:val="20"/>
        </w:rPr>
      </w:pPr>
    </w:p>
    <w:p>
      <w:pPr>
        <w:pStyle w:val="ListParagraph"/>
        <w:numPr>
          <w:ilvl w:val="3"/>
          <w:numId w:val="4"/>
        </w:numPr>
        <w:tabs>
          <w:tab w:pos="1359" w:val="left" w:leader="none"/>
          <w:tab w:pos="1360" w:val="left" w:leader="none"/>
        </w:tabs>
        <w:spacing w:line="240" w:lineRule="auto" w:before="1" w:after="0"/>
        <w:ind w:left="1360" w:right="1546" w:hanging="1080"/>
        <w:jc w:val="left"/>
        <w:rPr>
          <w:sz w:val="24"/>
        </w:rPr>
      </w:pPr>
      <w:r>
        <w:rPr>
          <w:sz w:val="24"/>
        </w:rPr>
        <w:t>Identification of all impervious areas of the facility, including paved areas, buildings, covered storage areas, or other roofed</w:t>
      </w:r>
      <w:r>
        <w:rPr>
          <w:spacing w:val="-10"/>
          <w:sz w:val="24"/>
        </w:rPr>
        <w:t> </w:t>
      </w:r>
      <w:r>
        <w:rPr>
          <w:sz w:val="24"/>
        </w:rPr>
        <w:t>structures.</w:t>
      </w:r>
    </w:p>
    <w:p>
      <w:pPr>
        <w:pStyle w:val="BodyText"/>
        <w:spacing w:before="9"/>
        <w:rPr>
          <w:sz w:val="20"/>
        </w:rPr>
      </w:pPr>
    </w:p>
    <w:p>
      <w:pPr>
        <w:pStyle w:val="ListParagraph"/>
        <w:numPr>
          <w:ilvl w:val="3"/>
          <w:numId w:val="4"/>
        </w:numPr>
        <w:tabs>
          <w:tab w:pos="1359" w:val="left" w:leader="none"/>
          <w:tab w:pos="1360" w:val="left" w:leader="none"/>
        </w:tabs>
        <w:spacing w:line="240" w:lineRule="auto" w:before="1" w:after="0"/>
        <w:ind w:left="1360" w:right="1334" w:hanging="1080"/>
        <w:jc w:val="left"/>
        <w:rPr>
          <w:sz w:val="24"/>
        </w:rPr>
      </w:pPr>
      <w:r>
        <w:rPr>
          <w:sz w:val="24"/>
        </w:rPr>
        <w:t>Clearly marked locations of industrial and non-industrial areas of the facility must be clearly</w:t>
      </w:r>
      <w:r>
        <w:rPr>
          <w:spacing w:val="-1"/>
          <w:sz w:val="24"/>
        </w:rPr>
        <w:t> </w:t>
      </w:r>
      <w:r>
        <w:rPr>
          <w:sz w:val="24"/>
        </w:rPr>
        <w:t>marked.</w:t>
      </w:r>
    </w:p>
    <w:p>
      <w:pPr>
        <w:pStyle w:val="BodyText"/>
        <w:spacing w:before="10"/>
        <w:rPr>
          <w:sz w:val="20"/>
        </w:rPr>
      </w:pPr>
    </w:p>
    <w:p>
      <w:pPr>
        <w:pStyle w:val="ListParagraph"/>
        <w:numPr>
          <w:ilvl w:val="3"/>
          <w:numId w:val="4"/>
        </w:numPr>
        <w:tabs>
          <w:tab w:pos="1359" w:val="left" w:leader="none"/>
          <w:tab w:pos="1360" w:val="left" w:leader="none"/>
        </w:tabs>
        <w:spacing w:line="240" w:lineRule="auto" w:before="0" w:after="0"/>
        <w:ind w:left="1359" w:right="1775" w:hanging="1080"/>
        <w:jc w:val="left"/>
        <w:rPr>
          <w:sz w:val="24"/>
        </w:rPr>
      </w:pPr>
      <w:r>
        <w:rPr>
          <w:sz w:val="24"/>
        </w:rPr>
        <w:t>Locations where materials are directly exposed to precipitation and the locations where identified significant spills or leaks have occurred;</w:t>
      </w:r>
      <w:r>
        <w:rPr>
          <w:spacing w:val="-45"/>
          <w:sz w:val="24"/>
        </w:rPr>
        <w:t> </w:t>
      </w:r>
      <w:r>
        <w:rPr>
          <w:sz w:val="24"/>
        </w:rPr>
        <w:t>and,</w:t>
      </w:r>
    </w:p>
    <w:p>
      <w:pPr>
        <w:pStyle w:val="BodyText"/>
        <w:spacing w:before="10"/>
        <w:rPr>
          <w:sz w:val="20"/>
        </w:rPr>
      </w:pPr>
    </w:p>
    <w:p>
      <w:pPr>
        <w:pStyle w:val="ListParagraph"/>
        <w:numPr>
          <w:ilvl w:val="3"/>
          <w:numId w:val="4"/>
        </w:numPr>
        <w:tabs>
          <w:tab w:pos="1426" w:val="left" w:leader="none"/>
          <w:tab w:pos="1427" w:val="left" w:leader="none"/>
        </w:tabs>
        <w:spacing w:line="240" w:lineRule="auto" w:before="0" w:after="0"/>
        <w:ind w:left="1359" w:right="1132" w:hanging="1080"/>
        <w:jc w:val="left"/>
        <w:rPr>
          <w:sz w:val="24"/>
        </w:rPr>
      </w:pPr>
      <w:r>
        <w:rPr/>
        <w:tab/>
      </w:r>
      <w:r>
        <w:rPr>
          <w:sz w:val="24"/>
        </w:rPr>
        <w:t>Identification of all areas that may have potential pollutant sources, including impervious areas such as rooftops, parking lots, and driveways, storage areas, shipping and receiving areas, fueling areas, vehicle and equipment storage/maintenance areas, vehicle washing areas, material handling and processing areas, waste treatment and disposal areas, dust or particulate generating areas, and cleaning and material reuse</w:t>
      </w:r>
      <w:r>
        <w:rPr>
          <w:spacing w:val="-7"/>
          <w:sz w:val="24"/>
        </w:rPr>
        <w:t> </w:t>
      </w:r>
      <w:r>
        <w:rPr>
          <w:sz w:val="24"/>
        </w:rPr>
        <w:t>areas.</w:t>
      </w:r>
    </w:p>
    <w:p>
      <w:pPr>
        <w:pStyle w:val="BodyText"/>
        <w:spacing w:before="9"/>
        <w:rPr>
          <w:sz w:val="20"/>
        </w:rPr>
      </w:pPr>
    </w:p>
    <w:p>
      <w:pPr>
        <w:pStyle w:val="Heading1"/>
        <w:numPr>
          <w:ilvl w:val="1"/>
          <w:numId w:val="4"/>
        </w:numPr>
        <w:tabs>
          <w:tab w:pos="871" w:val="left" w:leader="none"/>
        </w:tabs>
        <w:spacing w:line="240" w:lineRule="auto" w:before="0" w:after="0"/>
        <w:ind w:left="870" w:right="0" w:hanging="591"/>
        <w:jc w:val="left"/>
      </w:pPr>
      <w:bookmarkStart w:name="_TOC_250027" w:id="25"/>
      <w:r>
        <w:rPr/>
        <w:t>Description of Potential Pollution</w:t>
      </w:r>
      <w:r>
        <w:rPr>
          <w:spacing w:val="-1"/>
        </w:rPr>
        <w:t> </w:t>
      </w:r>
      <w:bookmarkEnd w:id="25"/>
      <w:r>
        <w:rPr/>
        <w:t>Sources.</w:t>
      </w:r>
    </w:p>
    <w:p>
      <w:pPr>
        <w:pStyle w:val="BodyText"/>
        <w:rPr>
          <w:b/>
        </w:rPr>
      </w:pPr>
    </w:p>
    <w:p>
      <w:pPr>
        <w:pStyle w:val="BodyText"/>
        <w:ind w:left="870" w:right="1285"/>
      </w:pPr>
      <w:r>
        <w:rPr/>
        <w:t>The Discharger shall include a list of materials handled at the facility, and the locations where each material is stored, received, shipped, and handled, as well as the typical quantities and handling frequency. A narrative assessment of all areas where potential pollutant sources are identified shall be provided. The assessment shall include:</w:t>
      </w:r>
    </w:p>
    <w:p>
      <w:pPr>
        <w:pStyle w:val="BodyText"/>
        <w:spacing w:before="10"/>
        <w:rPr>
          <w:sz w:val="20"/>
        </w:rPr>
      </w:pPr>
    </w:p>
    <w:p>
      <w:pPr>
        <w:pStyle w:val="ListParagraph"/>
        <w:numPr>
          <w:ilvl w:val="2"/>
          <w:numId w:val="4"/>
        </w:numPr>
        <w:tabs>
          <w:tab w:pos="1100" w:val="left" w:leader="none"/>
          <w:tab w:pos="1101" w:val="left" w:leader="none"/>
        </w:tabs>
        <w:spacing w:line="240" w:lineRule="auto" w:before="0" w:after="0"/>
        <w:ind w:left="1100" w:right="0" w:hanging="822"/>
        <w:jc w:val="left"/>
        <w:rPr>
          <w:sz w:val="24"/>
        </w:rPr>
      </w:pPr>
      <w:r>
        <w:rPr>
          <w:sz w:val="24"/>
        </w:rPr>
        <w:t>Identification of all potential NSWDs, both those authorized pursuant to</w:t>
      </w:r>
      <w:r>
        <w:rPr>
          <w:spacing w:val="-15"/>
          <w:sz w:val="24"/>
        </w:rPr>
        <w:t> </w:t>
      </w:r>
      <w:r>
        <w:rPr>
          <w:sz w:val="24"/>
        </w:rPr>
        <w:t>section</w:t>
      </w:r>
    </w:p>
    <w:p>
      <w:pPr>
        <w:pStyle w:val="BodyText"/>
        <w:ind w:left="1100"/>
      </w:pPr>
      <w:r>
        <w:rPr/>
        <w:t>5.1 and those that are prohibited;</w:t>
      </w:r>
    </w:p>
    <w:p>
      <w:pPr>
        <w:pStyle w:val="BodyText"/>
        <w:spacing w:before="10"/>
        <w:rPr>
          <w:sz w:val="20"/>
        </w:rPr>
      </w:pPr>
    </w:p>
    <w:p>
      <w:pPr>
        <w:pStyle w:val="ListParagraph"/>
        <w:numPr>
          <w:ilvl w:val="2"/>
          <w:numId w:val="4"/>
        </w:numPr>
        <w:tabs>
          <w:tab w:pos="1100" w:val="left" w:leader="none"/>
          <w:tab w:pos="1101" w:val="left" w:leader="none"/>
        </w:tabs>
        <w:spacing w:line="240" w:lineRule="auto" w:before="0" w:after="0"/>
        <w:ind w:left="1100" w:right="1274" w:hanging="821"/>
        <w:jc w:val="left"/>
        <w:rPr>
          <w:sz w:val="24"/>
        </w:rPr>
      </w:pPr>
      <w:r>
        <w:rPr>
          <w:sz w:val="24"/>
        </w:rPr>
        <w:t>Identification of pollutants that may be mobilized in stormwater or NSWDs and are likely to contaminate stormwater or NSWDs;</w:t>
      </w:r>
      <w:r>
        <w:rPr>
          <w:spacing w:val="-6"/>
          <w:sz w:val="24"/>
        </w:rPr>
        <w:t> </w:t>
      </w:r>
      <w:r>
        <w:rPr>
          <w:sz w:val="24"/>
        </w:rPr>
        <w:t>and</w:t>
      </w:r>
    </w:p>
    <w:p>
      <w:pPr>
        <w:spacing w:after="0" w:line="240" w:lineRule="auto"/>
        <w:jc w:val="left"/>
        <w:rPr>
          <w:sz w:val="24"/>
        </w:rPr>
        <w:sectPr>
          <w:pgSz w:w="12240" w:h="15840"/>
          <w:pgMar w:header="728" w:footer="788" w:top="1540" w:bottom="980" w:left="1160" w:right="420"/>
        </w:sectPr>
      </w:pPr>
    </w:p>
    <w:p>
      <w:pPr>
        <w:pStyle w:val="BodyText"/>
        <w:spacing w:before="11"/>
        <w:rPr>
          <w:sz w:val="15"/>
        </w:rPr>
      </w:pPr>
    </w:p>
    <w:p>
      <w:pPr>
        <w:pStyle w:val="ListParagraph"/>
        <w:numPr>
          <w:ilvl w:val="2"/>
          <w:numId w:val="4"/>
        </w:numPr>
        <w:tabs>
          <w:tab w:pos="1100" w:val="left" w:leader="none"/>
          <w:tab w:pos="1101" w:val="left" w:leader="none"/>
        </w:tabs>
        <w:spacing w:line="240" w:lineRule="auto" w:before="92" w:after="0"/>
        <w:ind w:left="1100" w:right="1916" w:hanging="821"/>
        <w:jc w:val="left"/>
        <w:rPr>
          <w:sz w:val="24"/>
        </w:rPr>
      </w:pPr>
      <w:r>
        <w:rPr>
          <w:sz w:val="24"/>
        </w:rPr>
        <w:t>The direct and indirect pathways by which pollutants may be exposed</w:t>
      </w:r>
      <w:r>
        <w:rPr>
          <w:spacing w:val="-46"/>
          <w:sz w:val="24"/>
        </w:rPr>
        <w:t> </w:t>
      </w:r>
      <w:r>
        <w:rPr>
          <w:sz w:val="24"/>
        </w:rPr>
        <w:t>to stormwater and authorized</w:t>
      </w:r>
      <w:r>
        <w:rPr>
          <w:spacing w:val="-2"/>
          <w:sz w:val="24"/>
        </w:rPr>
        <w:t> </w:t>
      </w:r>
      <w:r>
        <w:rPr>
          <w:sz w:val="24"/>
        </w:rPr>
        <w:t>NSWDs.</w:t>
      </w:r>
    </w:p>
    <w:p>
      <w:pPr>
        <w:pStyle w:val="BodyText"/>
        <w:spacing w:before="10"/>
        <w:rPr>
          <w:sz w:val="20"/>
        </w:rPr>
      </w:pPr>
    </w:p>
    <w:p>
      <w:pPr>
        <w:pStyle w:val="Heading1"/>
        <w:numPr>
          <w:ilvl w:val="1"/>
          <w:numId w:val="4"/>
        </w:numPr>
        <w:tabs>
          <w:tab w:pos="871" w:val="left" w:leader="none"/>
        </w:tabs>
        <w:spacing w:line="240" w:lineRule="auto" w:before="0" w:after="0"/>
        <w:ind w:left="870" w:right="0" w:hanging="591"/>
        <w:jc w:val="left"/>
      </w:pPr>
      <w:r>
        <w:rPr/>
        <w:t>Minimum</w:t>
      </w:r>
      <w:r>
        <w:rPr>
          <w:spacing w:val="-2"/>
        </w:rPr>
        <w:t> </w:t>
      </w:r>
      <w:r>
        <w:rPr/>
        <w:t>BMPs.</w:t>
      </w:r>
    </w:p>
    <w:p>
      <w:pPr>
        <w:pStyle w:val="BodyText"/>
        <w:rPr>
          <w:b/>
        </w:rPr>
      </w:pPr>
    </w:p>
    <w:p>
      <w:pPr>
        <w:pStyle w:val="BodyText"/>
        <w:ind w:left="870"/>
      </w:pPr>
      <w:r>
        <w:rPr/>
        <w:t>The Discharger shall (1) include in its Stormwater Pollution Prevention Plan, and</w:t>
      </w:r>
    </w:p>
    <w:p>
      <w:pPr>
        <w:pStyle w:val="ListParagraph"/>
        <w:numPr>
          <w:ilvl w:val="1"/>
          <w:numId w:val="5"/>
        </w:numPr>
        <w:tabs>
          <w:tab w:pos="1231" w:val="left" w:leader="none"/>
        </w:tabs>
        <w:spacing w:line="240" w:lineRule="auto" w:before="0" w:after="0"/>
        <w:ind w:left="870" w:right="1195" w:firstLine="0"/>
        <w:jc w:val="left"/>
        <w:rPr>
          <w:sz w:val="24"/>
        </w:rPr>
      </w:pPr>
      <w:r>
        <w:rPr>
          <w:sz w:val="24"/>
        </w:rPr>
        <w:t>implement and maintain, all of the following minimum BMPs to reduce or prevent pollutants in stormwater discharges and authorized NSWDs to the extent feasible.</w:t>
      </w:r>
    </w:p>
    <w:p>
      <w:pPr>
        <w:pStyle w:val="BodyText"/>
        <w:spacing w:before="10"/>
        <w:rPr>
          <w:sz w:val="20"/>
        </w:rPr>
      </w:pPr>
    </w:p>
    <w:p>
      <w:pPr>
        <w:pStyle w:val="ListParagraph"/>
        <w:numPr>
          <w:ilvl w:val="2"/>
          <w:numId w:val="4"/>
        </w:numPr>
        <w:tabs>
          <w:tab w:pos="1100" w:val="left" w:leader="none"/>
          <w:tab w:pos="1101" w:val="left" w:leader="none"/>
        </w:tabs>
        <w:spacing w:line="240" w:lineRule="auto" w:before="0" w:after="0"/>
        <w:ind w:left="1100" w:right="0" w:hanging="822"/>
        <w:jc w:val="left"/>
        <w:rPr>
          <w:sz w:val="24"/>
        </w:rPr>
      </w:pPr>
      <w:r>
        <w:rPr>
          <w:sz w:val="24"/>
          <w:u w:val="single"/>
        </w:rPr>
        <w:t>Good Housekeeping.</w:t>
      </w:r>
      <w:r>
        <w:rPr>
          <w:sz w:val="24"/>
        </w:rPr>
        <w:t> The Discharger</w:t>
      </w:r>
      <w:r>
        <w:rPr>
          <w:spacing w:val="-2"/>
          <w:sz w:val="24"/>
        </w:rPr>
        <w:t> </w:t>
      </w:r>
      <w:r>
        <w:rPr>
          <w:sz w:val="24"/>
        </w:rPr>
        <w:t>shall:</w:t>
      </w:r>
    </w:p>
    <w:p>
      <w:pPr>
        <w:pStyle w:val="BodyText"/>
        <w:spacing w:before="10"/>
        <w:rPr>
          <w:sz w:val="20"/>
        </w:rPr>
      </w:pPr>
    </w:p>
    <w:p>
      <w:pPr>
        <w:pStyle w:val="ListParagraph"/>
        <w:numPr>
          <w:ilvl w:val="3"/>
          <w:numId w:val="4"/>
        </w:numPr>
        <w:tabs>
          <w:tab w:pos="1359" w:val="left" w:leader="none"/>
          <w:tab w:pos="1360" w:val="left" w:leader="none"/>
        </w:tabs>
        <w:spacing w:line="240" w:lineRule="auto" w:before="1" w:after="0"/>
        <w:ind w:left="1360" w:right="1053" w:hanging="1080"/>
        <w:jc w:val="left"/>
        <w:rPr>
          <w:sz w:val="24"/>
        </w:rPr>
      </w:pPr>
      <w:r>
        <w:rPr>
          <w:sz w:val="24"/>
        </w:rPr>
        <w:t>Observe all outdoor areas including stormwater discharge locations, drainage areas, conveyance systems, waste handling/disposal areas, and perimeter areas impacted by off-site materials or stormwater run-on to determine housekeeping needs. Any identified debris, waste, spills, tracked materials, or leaked materials shall be cleaned and disposed of</w:t>
      </w:r>
      <w:r>
        <w:rPr>
          <w:spacing w:val="-9"/>
          <w:sz w:val="24"/>
        </w:rPr>
        <w:t> </w:t>
      </w:r>
      <w:r>
        <w:rPr>
          <w:sz w:val="24"/>
        </w:rPr>
        <w:t>properly;</w:t>
      </w:r>
    </w:p>
    <w:p>
      <w:pPr>
        <w:pStyle w:val="BodyText"/>
        <w:spacing w:before="9"/>
        <w:rPr>
          <w:sz w:val="20"/>
        </w:rPr>
      </w:pPr>
    </w:p>
    <w:p>
      <w:pPr>
        <w:pStyle w:val="ListParagraph"/>
        <w:numPr>
          <w:ilvl w:val="3"/>
          <w:numId w:val="4"/>
        </w:numPr>
        <w:tabs>
          <w:tab w:pos="1359" w:val="left" w:leader="none"/>
          <w:tab w:pos="1360" w:val="left" w:leader="none"/>
        </w:tabs>
        <w:spacing w:line="240" w:lineRule="auto" w:before="1" w:after="0"/>
        <w:ind w:left="1359" w:right="0" w:hanging="1080"/>
        <w:jc w:val="left"/>
        <w:rPr>
          <w:sz w:val="24"/>
        </w:rPr>
      </w:pPr>
      <w:r>
        <w:rPr>
          <w:sz w:val="24"/>
        </w:rPr>
        <w:t>Prevent materials</w:t>
      </w:r>
      <w:r>
        <w:rPr>
          <w:spacing w:val="-1"/>
          <w:sz w:val="24"/>
        </w:rPr>
        <w:t> </w:t>
      </w:r>
      <w:r>
        <w:rPr>
          <w:sz w:val="24"/>
        </w:rPr>
        <w:t>tracking;</w:t>
      </w:r>
    </w:p>
    <w:p>
      <w:pPr>
        <w:pStyle w:val="BodyText"/>
        <w:spacing w:before="9"/>
        <w:rPr>
          <w:sz w:val="20"/>
        </w:rPr>
      </w:pPr>
    </w:p>
    <w:p>
      <w:pPr>
        <w:pStyle w:val="ListParagraph"/>
        <w:numPr>
          <w:ilvl w:val="3"/>
          <w:numId w:val="4"/>
        </w:numPr>
        <w:tabs>
          <w:tab w:pos="1359" w:val="left" w:leader="none"/>
          <w:tab w:pos="1360" w:val="left" w:leader="none"/>
        </w:tabs>
        <w:spacing w:line="240" w:lineRule="auto" w:before="1" w:after="0"/>
        <w:ind w:left="1359" w:right="0" w:hanging="1080"/>
        <w:jc w:val="left"/>
        <w:rPr>
          <w:sz w:val="24"/>
        </w:rPr>
      </w:pPr>
      <w:r>
        <w:rPr>
          <w:sz w:val="24"/>
        </w:rPr>
        <w:t>Prevent dust generated from materials or</w:t>
      </w:r>
      <w:r>
        <w:rPr>
          <w:spacing w:val="-3"/>
          <w:sz w:val="24"/>
        </w:rPr>
        <w:t> </w:t>
      </w:r>
      <w:r>
        <w:rPr>
          <w:sz w:val="24"/>
        </w:rPr>
        <w:t>activities;</w:t>
      </w:r>
    </w:p>
    <w:p>
      <w:pPr>
        <w:pStyle w:val="BodyText"/>
        <w:spacing w:before="10"/>
        <w:rPr>
          <w:sz w:val="20"/>
        </w:rPr>
      </w:pPr>
    </w:p>
    <w:p>
      <w:pPr>
        <w:pStyle w:val="ListParagraph"/>
        <w:numPr>
          <w:ilvl w:val="3"/>
          <w:numId w:val="4"/>
        </w:numPr>
        <w:tabs>
          <w:tab w:pos="1359" w:val="left" w:leader="none"/>
          <w:tab w:pos="1360" w:val="left" w:leader="none"/>
        </w:tabs>
        <w:spacing w:line="240" w:lineRule="auto" w:before="0" w:after="0"/>
        <w:ind w:left="1359" w:right="0" w:hanging="1080"/>
        <w:jc w:val="left"/>
        <w:rPr>
          <w:sz w:val="24"/>
        </w:rPr>
      </w:pPr>
      <w:r>
        <w:rPr>
          <w:sz w:val="24"/>
        </w:rPr>
        <w:t>Prevent erosion and sediment</w:t>
      </w:r>
      <w:r>
        <w:rPr>
          <w:spacing w:val="-2"/>
          <w:sz w:val="24"/>
        </w:rPr>
        <w:t> </w:t>
      </w:r>
      <w:r>
        <w:rPr>
          <w:sz w:val="24"/>
        </w:rPr>
        <w:t>discharges;</w:t>
      </w:r>
    </w:p>
    <w:p>
      <w:pPr>
        <w:pStyle w:val="BodyText"/>
        <w:spacing w:before="10"/>
        <w:rPr>
          <w:sz w:val="20"/>
        </w:rPr>
      </w:pPr>
    </w:p>
    <w:p>
      <w:pPr>
        <w:pStyle w:val="ListParagraph"/>
        <w:numPr>
          <w:ilvl w:val="3"/>
          <w:numId w:val="4"/>
        </w:numPr>
        <w:tabs>
          <w:tab w:pos="1358" w:val="left" w:leader="none"/>
          <w:tab w:pos="1359" w:val="left" w:leader="none"/>
        </w:tabs>
        <w:spacing w:line="240" w:lineRule="auto" w:before="0" w:after="0"/>
        <w:ind w:left="1360" w:right="1150" w:hanging="1080"/>
        <w:jc w:val="left"/>
        <w:rPr>
          <w:sz w:val="24"/>
        </w:rPr>
      </w:pPr>
      <w:r>
        <w:rPr>
          <w:sz w:val="24"/>
        </w:rPr>
        <w:t>Ensure</w:t>
      </w:r>
      <w:r>
        <w:rPr>
          <w:spacing w:val="-5"/>
          <w:sz w:val="24"/>
        </w:rPr>
        <w:t> </w:t>
      </w:r>
      <w:r>
        <w:rPr>
          <w:sz w:val="24"/>
        </w:rPr>
        <w:t>that</w:t>
      </w:r>
      <w:r>
        <w:rPr>
          <w:spacing w:val="-4"/>
          <w:sz w:val="24"/>
        </w:rPr>
        <w:t> </w:t>
      </w:r>
      <w:r>
        <w:rPr>
          <w:sz w:val="24"/>
        </w:rPr>
        <w:t>all</w:t>
      </w:r>
      <w:r>
        <w:rPr>
          <w:spacing w:val="-5"/>
          <w:sz w:val="24"/>
        </w:rPr>
        <w:t> </w:t>
      </w:r>
      <w:r>
        <w:rPr>
          <w:sz w:val="24"/>
        </w:rPr>
        <w:t>areas</w:t>
      </w:r>
      <w:r>
        <w:rPr>
          <w:spacing w:val="-4"/>
          <w:sz w:val="24"/>
        </w:rPr>
        <w:t> </w:t>
      </w:r>
      <w:r>
        <w:rPr>
          <w:sz w:val="24"/>
        </w:rPr>
        <w:t>impacted</w:t>
      </w:r>
      <w:r>
        <w:rPr>
          <w:spacing w:val="-5"/>
          <w:sz w:val="24"/>
        </w:rPr>
        <w:t> </w:t>
      </w:r>
      <w:r>
        <w:rPr>
          <w:sz w:val="24"/>
        </w:rPr>
        <w:t>by</w:t>
      </w:r>
      <w:r>
        <w:rPr>
          <w:spacing w:val="-4"/>
          <w:sz w:val="24"/>
        </w:rPr>
        <w:t> </w:t>
      </w:r>
      <w:r>
        <w:rPr>
          <w:sz w:val="24"/>
        </w:rPr>
        <w:t>rinse/wash</w:t>
      </w:r>
      <w:r>
        <w:rPr>
          <w:spacing w:val="-4"/>
          <w:sz w:val="24"/>
        </w:rPr>
        <w:t> </w:t>
      </w:r>
      <w:r>
        <w:rPr>
          <w:sz w:val="24"/>
        </w:rPr>
        <w:t>water</w:t>
      </w:r>
      <w:r>
        <w:rPr>
          <w:spacing w:val="-5"/>
          <w:sz w:val="24"/>
        </w:rPr>
        <w:t> </w:t>
      </w:r>
      <w:r>
        <w:rPr>
          <w:sz w:val="24"/>
        </w:rPr>
        <w:t>are</w:t>
      </w:r>
      <w:r>
        <w:rPr>
          <w:spacing w:val="-4"/>
          <w:sz w:val="24"/>
        </w:rPr>
        <w:t> </w:t>
      </w:r>
      <w:r>
        <w:rPr>
          <w:sz w:val="24"/>
        </w:rPr>
        <w:t>properly</w:t>
      </w:r>
      <w:r>
        <w:rPr>
          <w:spacing w:val="-5"/>
          <w:sz w:val="24"/>
        </w:rPr>
        <w:t> </w:t>
      </w:r>
      <w:r>
        <w:rPr>
          <w:sz w:val="24"/>
        </w:rPr>
        <w:t>cleaned</w:t>
      </w:r>
      <w:r>
        <w:rPr>
          <w:spacing w:val="-4"/>
          <w:sz w:val="24"/>
        </w:rPr>
        <w:t> </w:t>
      </w:r>
      <w:r>
        <w:rPr>
          <w:sz w:val="24"/>
        </w:rPr>
        <w:t>and the discharge of pollutants from rinse/wash water is</w:t>
      </w:r>
      <w:r>
        <w:rPr>
          <w:spacing w:val="-12"/>
          <w:sz w:val="24"/>
        </w:rPr>
        <w:t> </w:t>
      </w:r>
      <w:r>
        <w:rPr>
          <w:sz w:val="24"/>
        </w:rPr>
        <w:t>prevented;</w:t>
      </w:r>
    </w:p>
    <w:p>
      <w:pPr>
        <w:pStyle w:val="BodyText"/>
        <w:spacing w:before="10"/>
        <w:rPr>
          <w:sz w:val="20"/>
        </w:rPr>
      </w:pPr>
    </w:p>
    <w:p>
      <w:pPr>
        <w:pStyle w:val="ListParagraph"/>
        <w:numPr>
          <w:ilvl w:val="3"/>
          <w:numId w:val="4"/>
        </w:numPr>
        <w:tabs>
          <w:tab w:pos="1358" w:val="left" w:leader="none"/>
          <w:tab w:pos="1360" w:val="left" w:leader="none"/>
        </w:tabs>
        <w:spacing w:line="240" w:lineRule="auto" w:before="0" w:after="0"/>
        <w:ind w:left="1359" w:right="1815" w:hanging="1080"/>
        <w:jc w:val="left"/>
        <w:rPr>
          <w:sz w:val="24"/>
        </w:rPr>
      </w:pPr>
      <w:r>
        <w:rPr>
          <w:sz w:val="24"/>
        </w:rPr>
        <w:t>Cover all stored materials that can be readily mobilized by contact with stormwater;</w:t>
      </w:r>
    </w:p>
    <w:p>
      <w:pPr>
        <w:pStyle w:val="BodyText"/>
        <w:spacing w:before="9"/>
        <w:rPr>
          <w:sz w:val="20"/>
        </w:rPr>
      </w:pPr>
    </w:p>
    <w:p>
      <w:pPr>
        <w:pStyle w:val="ListParagraph"/>
        <w:numPr>
          <w:ilvl w:val="3"/>
          <w:numId w:val="4"/>
        </w:numPr>
        <w:tabs>
          <w:tab w:pos="1358" w:val="left" w:leader="none"/>
          <w:tab w:pos="1359" w:val="left" w:leader="none"/>
        </w:tabs>
        <w:spacing w:line="240" w:lineRule="auto" w:before="0" w:after="0"/>
        <w:ind w:left="1359" w:right="1239" w:hanging="1080"/>
        <w:jc w:val="left"/>
        <w:rPr>
          <w:sz w:val="24"/>
        </w:rPr>
      </w:pPr>
      <w:r>
        <w:rPr>
          <w:sz w:val="24"/>
        </w:rPr>
        <w:t>Contain all stored non-solid materials or wastes (e.g., particulates, powders, shredded paper, plastic pellets/nurdles, etc.) that can be transported or dispersed by the wind or contact with</w:t>
      </w:r>
      <w:r>
        <w:rPr>
          <w:spacing w:val="-8"/>
          <w:sz w:val="24"/>
        </w:rPr>
        <w:t> </w:t>
      </w:r>
      <w:r>
        <w:rPr>
          <w:sz w:val="24"/>
        </w:rPr>
        <w:t>stormwater;</w:t>
      </w:r>
    </w:p>
    <w:p>
      <w:pPr>
        <w:pStyle w:val="BodyText"/>
        <w:spacing w:before="10"/>
        <w:rPr>
          <w:sz w:val="20"/>
        </w:rPr>
      </w:pPr>
    </w:p>
    <w:p>
      <w:pPr>
        <w:pStyle w:val="ListParagraph"/>
        <w:numPr>
          <w:ilvl w:val="3"/>
          <w:numId w:val="4"/>
        </w:numPr>
        <w:tabs>
          <w:tab w:pos="1359" w:val="left" w:leader="none"/>
          <w:tab w:pos="1360" w:val="left" w:leader="none"/>
        </w:tabs>
        <w:spacing w:line="240" w:lineRule="auto" w:before="0" w:after="0"/>
        <w:ind w:left="1359" w:right="1509" w:hanging="1080"/>
        <w:jc w:val="left"/>
        <w:rPr>
          <w:sz w:val="24"/>
        </w:rPr>
      </w:pPr>
      <w:r>
        <w:rPr>
          <w:sz w:val="24"/>
        </w:rPr>
        <w:t>Prevent disposal of any rinse/wash</w:t>
      </w:r>
      <w:r>
        <w:rPr>
          <w:spacing w:val="-49"/>
          <w:sz w:val="24"/>
        </w:rPr>
        <w:t> </w:t>
      </w:r>
      <w:r>
        <w:rPr>
          <w:sz w:val="24"/>
        </w:rPr>
        <w:t>water or materials into the stormwater conveyance</w:t>
      </w:r>
      <w:r>
        <w:rPr>
          <w:spacing w:val="-1"/>
          <w:sz w:val="24"/>
        </w:rPr>
        <w:t> </w:t>
      </w:r>
      <w:r>
        <w:rPr>
          <w:sz w:val="24"/>
        </w:rPr>
        <w:t>system;</w:t>
      </w:r>
    </w:p>
    <w:p>
      <w:pPr>
        <w:pStyle w:val="BodyText"/>
        <w:spacing w:before="10"/>
        <w:rPr>
          <w:sz w:val="20"/>
        </w:rPr>
      </w:pPr>
    </w:p>
    <w:p>
      <w:pPr>
        <w:pStyle w:val="ListParagraph"/>
        <w:numPr>
          <w:ilvl w:val="3"/>
          <w:numId w:val="4"/>
        </w:numPr>
        <w:tabs>
          <w:tab w:pos="1359" w:val="left" w:leader="none"/>
          <w:tab w:pos="1360" w:val="left" w:leader="none"/>
        </w:tabs>
        <w:spacing w:line="240" w:lineRule="auto" w:before="0" w:after="0"/>
        <w:ind w:left="1359" w:right="1924" w:hanging="1080"/>
        <w:jc w:val="left"/>
        <w:rPr>
          <w:sz w:val="24"/>
        </w:rPr>
      </w:pPr>
      <w:r>
        <w:rPr>
          <w:sz w:val="24"/>
        </w:rPr>
        <w:t>Prevent stormwater discharges and NSWDs from contacting</w:t>
      </w:r>
      <w:r>
        <w:rPr>
          <w:spacing w:val="-28"/>
          <w:sz w:val="24"/>
        </w:rPr>
        <w:t> </w:t>
      </w:r>
      <w:r>
        <w:rPr>
          <w:sz w:val="24"/>
        </w:rPr>
        <w:t>potential pollutant</w:t>
      </w:r>
      <w:r>
        <w:rPr>
          <w:spacing w:val="-1"/>
          <w:sz w:val="24"/>
        </w:rPr>
        <w:t> </w:t>
      </w:r>
      <w:r>
        <w:rPr>
          <w:sz w:val="24"/>
        </w:rPr>
        <w:t>sources;</w:t>
      </w:r>
    </w:p>
    <w:p>
      <w:pPr>
        <w:pStyle w:val="BodyText"/>
        <w:spacing w:before="10"/>
        <w:rPr>
          <w:sz w:val="20"/>
        </w:rPr>
      </w:pPr>
    </w:p>
    <w:p>
      <w:pPr>
        <w:pStyle w:val="ListParagraph"/>
        <w:numPr>
          <w:ilvl w:val="3"/>
          <w:numId w:val="4"/>
        </w:numPr>
        <w:tabs>
          <w:tab w:pos="1360" w:val="left" w:leader="none"/>
        </w:tabs>
        <w:spacing w:line="240" w:lineRule="auto" w:before="0" w:after="0"/>
        <w:ind w:left="1359" w:right="1241" w:hanging="1080"/>
        <w:jc w:val="left"/>
        <w:rPr>
          <w:sz w:val="24"/>
        </w:rPr>
      </w:pPr>
      <w:r>
        <w:rPr>
          <w:sz w:val="24"/>
        </w:rPr>
        <w:t>Identify equipment that may spill or leak pollutants and establish procedures for routine observation of the identified equipment to detect leaks;</w:t>
      </w:r>
      <w:r>
        <w:rPr>
          <w:spacing w:val="-23"/>
          <w:sz w:val="24"/>
        </w:rPr>
        <w:t> </w:t>
      </w:r>
      <w:r>
        <w:rPr>
          <w:sz w:val="24"/>
        </w:rPr>
        <w:t>and</w:t>
      </w:r>
    </w:p>
    <w:p>
      <w:pPr>
        <w:pStyle w:val="BodyText"/>
        <w:spacing w:before="10"/>
        <w:rPr>
          <w:sz w:val="20"/>
        </w:rPr>
      </w:pPr>
    </w:p>
    <w:p>
      <w:pPr>
        <w:pStyle w:val="ListParagraph"/>
        <w:numPr>
          <w:ilvl w:val="3"/>
          <w:numId w:val="4"/>
        </w:numPr>
        <w:tabs>
          <w:tab w:pos="1360" w:val="left" w:leader="none"/>
        </w:tabs>
        <w:spacing w:line="240" w:lineRule="auto" w:before="0" w:after="0"/>
        <w:ind w:left="1359" w:right="1145" w:hanging="1080"/>
        <w:jc w:val="left"/>
        <w:rPr>
          <w:sz w:val="24"/>
        </w:rPr>
      </w:pPr>
      <w:r>
        <w:rPr>
          <w:sz w:val="24"/>
        </w:rPr>
        <w:t>Establish procedures for regular maintenance of equipment, and prompt repair of equipment when conditions exist that may result in the development of spills or</w:t>
      </w:r>
      <w:r>
        <w:rPr>
          <w:spacing w:val="-1"/>
          <w:sz w:val="24"/>
        </w:rPr>
        <w:t> </w:t>
      </w:r>
      <w:r>
        <w:rPr>
          <w:sz w:val="24"/>
        </w:rPr>
        <w:t>leaks.</w:t>
      </w:r>
    </w:p>
    <w:p>
      <w:pPr>
        <w:spacing w:after="0" w:line="240" w:lineRule="auto"/>
        <w:jc w:val="left"/>
        <w:rPr>
          <w:sz w:val="24"/>
        </w:rPr>
        <w:sectPr>
          <w:pgSz w:w="12240" w:h="15840"/>
          <w:pgMar w:header="728" w:footer="788" w:top="1540" w:bottom="980" w:left="1160" w:right="420"/>
        </w:sectPr>
      </w:pPr>
    </w:p>
    <w:p>
      <w:pPr>
        <w:pStyle w:val="BodyText"/>
        <w:spacing w:before="11"/>
        <w:rPr>
          <w:sz w:val="15"/>
        </w:rPr>
      </w:pPr>
    </w:p>
    <w:p>
      <w:pPr>
        <w:pStyle w:val="ListParagraph"/>
        <w:numPr>
          <w:ilvl w:val="2"/>
          <w:numId w:val="4"/>
        </w:numPr>
        <w:tabs>
          <w:tab w:pos="1100" w:val="left" w:leader="none"/>
          <w:tab w:pos="1101" w:val="left" w:leader="none"/>
        </w:tabs>
        <w:spacing w:line="240" w:lineRule="auto" w:before="92" w:after="0"/>
        <w:ind w:left="1100" w:right="0" w:hanging="821"/>
        <w:jc w:val="left"/>
        <w:rPr>
          <w:sz w:val="24"/>
        </w:rPr>
      </w:pPr>
      <w:r>
        <w:rPr>
          <w:sz w:val="24"/>
          <w:u w:val="single"/>
        </w:rPr>
        <w:t>Exposure Minimization.</w:t>
      </w:r>
      <w:r>
        <w:rPr>
          <w:sz w:val="24"/>
        </w:rPr>
        <w:t> The Discharger</w:t>
      </w:r>
      <w:r>
        <w:rPr>
          <w:spacing w:val="-2"/>
          <w:sz w:val="24"/>
        </w:rPr>
        <w:t> </w:t>
      </w:r>
      <w:r>
        <w:rPr>
          <w:sz w:val="24"/>
        </w:rPr>
        <w:t>shall:</w:t>
      </w:r>
    </w:p>
    <w:p>
      <w:pPr>
        <w:pStyle w:val="BodyText"/>
        <w:spacing w:before="10"/>
        <w:rPr>
          <w:sz w:val="20"/>
        </w:rPr>
      </w:pPr>
    </w:p>
    <w:p>
      <w:pPr>
        <w:pStyle w:val="ListParagraph"/>
        <w:numPr>
          <w:ilvl w:val="3"/>
          <w:numId w:val="4"/>
        </w:numPr>
        <w:tabs>
          <w:tab w:pos="1358" w:val="left" w:leader="none"/>
          <w:tab w:pos="1359" w:val="left" w:leader="none"/>
        </w:tabs>
        <w:spacing w:line="240" w:lineRule="auto" w:before="0" w:after="0"/>
        <w:ind w:left="1360" w:right="1413" w:hanging="1080"/>
        <w:jc w:val="left"/>
        <w:rPr>
          <w:sz w:val="24"/>
        </w:rPr>
      </w:pPr>
      <w:r>
        <w:rPr>
          <w:sz w:val="24"/>
        </w:rPr>
        <w:t>Establish and implement procedures and/or controls to minimize spills and leaks;</w:t>
      </w:r>
    </w:p>
    <w:p>
      <w:pPr>
        <w:pStyle w:val="BodyText"/>
        <w:spacing w:before="10"/>
        <w:rPr>
          <w:sz w:val="20"/>
        </w:rPr>
      </w:pPr>
    </w:p>
    <w:p>
      <w:pPr>
        <w:pStyle w:val="ListParagraph"/>
        <w:numPr>
          <w:ilvl w:val="3"/>
          <w:numId w:val="4"/>
        </w:numPr>
        <w:tabs>
          <w:tab w:pos="1359" w:val="left" w:leader="none"/>
          <w:tab w:pos="1360" w:val="left" w:leader="none"/>
        </w:tabs>
        <w:spacing w:line="240" w:lineRule="auto" w:before="0" w:after="0"/>
        <w:ind w:left="1360" w:right="1773" w:hanging="1080"/>
        <w:jc w:val="left"/>
        <w:rPr>
          <w:sz w:val="24"/>
        </w:rPr>
      </w:pPr>
      <w:r>
        <w:rPr>
          <w:sz w:val="24"/>
        </w:rPr>
        <w:t>Prevent or minimize handling of materials or wastes that can be readily mobilized by contact with stormwater during a storm</w:t>
      </w:r>
      <w:r>
        <w:rPr>
          <w:spacing w:val="-12"/>
          <w:sz w:val="24"/>
        </w:rPr>
        <w:t> </w:t>
      </w:r>
      <w:r>
        <w:rPr>
          <w:sz w:val="24"/>
        </w:rPr>
        <w:t>event;</w:t>
      </w:r>
    </w:p>
    <w:p>
      <w:pPr>
        <w:pStyle w:val="BodyText"/>
        <w:spacing w:before="10"/>
        <w:rPr>
          <w:sz w:val="20"/>
        </w:rPr>
      </w:pPr>
    </w:p>
    <w:p>
      <w:pPr>
        <w:pStyle w:val="ListParagraph"/>
        <w:numPr>
          <w:ilvl w:val="3"/>
          <w:numId w:val="4"/>
        </w:numPr>
        <w:tabs>
          <w:tab w:pos="1359" w:val="left" w:leader="none"/>
          <w:tab w:pos="1360" w:val="left" w:leader="none"/>
        </w:tabs>
        <w:spacing w:line="240" w:lineRule="auto" w:before="0" w:after="0"/>
        <w:ind w:left="1359" w:right="0" w:hanging="1080"/>
        <w:jc w:val="left"/>
        <w:rPr>
          <w:sz w:val="24"/>
        </w:rPr>
      </w:pPr>
      <w:r>
        <w:rPr>
          <w:sz w:val="24"/>
        </w:rPr>
        <w:t>Cover or contain materials that can be mobilized by contact with</w:t>
      </w:r>
      <w:r>
        <w:rPr>
          <w:spacing w:val="-19"/>
          <w:sz w:val="24"/>
        </w:rPr>
        <w:t> </w:t>
      </w:r>
      <w:r>
        <w:rPr>
          <w:sz w:val="24"/>
        </w:rPr>
        <w:t>stormwater;</w:t>
      </w:r>
    </w:p>
    <w:p>
      <w:pPr>
        <w:pStyle w:val="BodyText"/>
        <w:spacing w:before="10"/>
        <w:rPr>
          <w:sz w:val="20"/>
        </w:rPr>
      </w:pPr>
    </w:p>
    <w:p>
      <w:pPr>
        <w:pStyle w:val="ListParagraph"/>
        <w:numPr>
          <w:ilvl w:val="3"/>
          <w:numId w:val="4"/>
        </w:numPr>
        <w:tabs>
          <w:tab w:pos="1360" w:val="left" w:leader="none"/>
        </w:tabs>
        <w:spacing w:line="240" w:lineRule="auto" w:before="0" w:after="0"/>
        <w:ind w:left="1360" w:right="1308" w:hanging="1080"/>
        <w:jc w:val="both"/>
        <w:rPr>
          <w:sz w:val="24"/>
        </w:rPr>
      </w:pPr>
      <w:r>
        <w:rPr>
          <w:sz w:val="24"/>
        </w:rPr>
        <w:t>Divert run-on, stormwater generated from within the facility, and authorized NSWDs away from stored materials that can be mobilized by stormwater or NSWDs;</w:t>
      </w:r>
      <w:r>
        <w:rPr>
          <w:spacing w:val="-1"/>
          <w:sz w:val="24"/>
        </w:rPr>
        <w:t> </w:t>
      </w:r>
      <w:r>
        <w:rPr>
          <w:sz w:val="24"/>
        </w:rPr>
        <w:t>and</w:t>
      </w:r>
    </w:p>
    <w:p>
      <w:pPr>
        <w:pStyle w:val="BodyText"/>
        <w:spacing w:before="10"/>
        <w:rPr>
          <w:sz w:val="20"/>
        </w:rPr>
      </w:pPr>
    </w:p>
    <w:p>
      <w:pPr>
        <w:pStyle w:val="ListParagraph"/>
        <w:numPr>
          <w:ilvl w:val="3"/>
          <w:numId w:val="4"/>
        </w:numPr>
        <w:tabs>
          <w:tab w:pos="1358" w:val="left" w:leader="none"/>
          <w:tab w:pos="1359" w:val="left" w:leader="none"/>
        </w:tabs>
        <w:spacing w:line="240" w:lineRule="auto" w:before="1" w:after="0"/>
        <w:ind w:left="1360" w:right="1680" w:hanging="1080"/>
        <w:jc w:val="left"/>
        <w:rPr>
          <w:sz w:val="24"/>
        </w:rPr>
      </w:pPr>
      <w:r>
        <w:rPr>
          <w:sz w:val="24"/>
        </w:rPr>
        <w:t>Promptly clean and properly dispose of all spills of materials that can be mobilized by stormwater or authorized</w:t>
      </w:r>
      <w:r>
        <w:rPr>
          <w:spacing w:val="-4"/>
          <w:sz w:val="24"/>
        </w:rPr>
        <w:t> </w:t>
      </w:r>
      <w:r>
        <w:rPr>
          <w:sz w:val="24"/>
        </w:rPr>
        <w:t>NSWDs.</w:t>
      </w:r>
    </w:p>
    <w:p>
      <w:pPr>
        <w:pStyle w:val="BodyText"/>
        <w:spacing w:before="9"/>
        <w:rPr>
          <w:sz w:val="20"/>
        </w:rPr>
      </w:pPr>
    </w:p>
    <w:p>
      <w:pPr>
        <w:pStyle w:val="ListParagraph"/>
        <w:numPr>
          <w:ilvl w:val="2"/>
          <w:numId w:val="4"/>
        </w:numPr>
        <w:tabs>
          <w:tab w:pos="1099" w:val="left" w:leader="none"/>
          <w:tab w:pos="1101" w:val="left" w:leader="none"/>
        </w:tabs>
        <w:spacing w:line="240" w:lineRule="auto" w:before="1" w:after="0"/>
        <w:ind w:left="1100" w:right="0" w:hanging="821"/>
        <w:jc w:val="left"/>
        <w:rPr>
          <w:sz w:val="24"/>
        </w:rPr>
      </w:pPr>
      <w:r>
        <w:rPr>
          <w:sz w:val="24"/>
          <w:u w:val="single"/>
        </w:rPr>
        <w:t>Employee Training Program.</w:t>
      </w:r>
      <w:r>
        <w:rPr>
          <w:sz w:val="24"/>
        </w:rPr>
        <w:t> The Discharger shall:</w:t>
      </w:r>
    </w:p>
    <w:p>
      <w:pPr>
        <w:pStyle w:val="BodyText"/>
        <w:spacing w:before="9"/>
        <w:rPr>
          <w:sz w:val="20"/>
        </w:rPr>
      </w:pPr>
    </w:p>
    <w:p>
      <w:pPr>
        <w:pStyle w:val="ListParagraph"/>
        <w:numPr>
          <w:ilvl w:val="3"/>
          <w:numId w:val="4"/>
        </w:numPr>
        <w:tabs>
          <w:tab w:pos="1359" w:val="left" w:leader="none"/>
          <w:tab w:pos="1360" w:val="left" w:leader="none"/>
        </w:tabs>
        <w:spacing w:line="240" w:lineRule="auto" w:before="1" w:after="0"/>
        <w:ind w:left="1359" w:right="1094" w:hanging="1080"/>
        <w:jc w:val="left"/>
        <w:rPr>
          <w:sz w:val="24"/>
        </w:rPr>
      </w:pPr>
      <w:r>
        <w:rPr>
          <w:sz w:val="24"/>
        </w:rPr>
        <w:t>Ensure that all team members implementing the various compliance activities of this General Permit are properly trained to implement the requirements of this General Permit, including but not limited to: BMP implementation, BMP effectiveness, visual observations of discharge and minimum BMPs, visual inspections of installed BMPs (if applicable), erosion and sediment controls, and monitoring</w:t>
      </w:r>
      <w:r>
        <w:rPr>
          <w:spacing w:val="-1"/>
          <w:sz w:val="24"/>
        </w:rPr>
        <w:t> </w:t>
      </w:r>
      <w:r>
        <w:rPr>
          <w:sz w:val="24"/>
        </w:rPr>
        <w:t>activities;</w:t>
      </w:r>
    </w:p>
    <w:p>
      <w:pPr>
        <w:pStyle w:val="BodyText"/>
        <w:spacing w:before="10"/>
        <w:rPr>
          <w:sz w:val="20"/>
        </w:rPr>
      </w:pPr>
    </w:p>
    <w:p>
      <w:pPr>
        <w:pStyle w:val="ListParagraph"/>
        <w:numPr>
          <w:ilvl w:val="3"/>
          <w:numId w:val="4"/>
        </w:numPr>
        <w:tabs>
          <w:tab w:pos="1358" w:val="left" w:leader="none"/>
          <w:tab w:pos="1359" w:val="left" w:leader="none"/>
        </w:tabs>
        <w:spacing w:line="240" w:lineRule="auto" w:before="0" w:after="0"/>
        <w:ind w:left="1358" w:right="0" w:hanging="1079"/>
        <w:jc w:val="left"/>
        <w:rPr>
          <w:sz w:val="24"/>
        </w:rPr>
      </w:pPr>
      <w:r>
        <w:rPr>
          <w:sz w:val="24"/>
        </w:rPr>
        <w:t>Prepare or acquire appropriate training manuals or training</w:t>
      </w:r>
      <w:r>
        <w:rPr>
          <w:spacing w:val="-8"/>
          <w:sz w:val="24"/>
        </w:rPr>
        <w:t> </w:t>
      </w:r>
      <w:r>
        <w:rPr>
          <w:sz w:val="24"/>
        </w:rPr>
        <w:t>materials;</w:t>
      </w:r>
    </w:p>
    <w:p>
      <w:pPr>
        <w:pStyle w:val="BodyText"/>
        <w:spacing w:before="10"/>
        <w:rPr>
          <w:sz w:val="20"/>
        </w:rPr>
      </w:pPr>
    </w:p>
    <w:p>
      <w:pPr>
        <w:pStyle w:val="ListParagraph"/>
        <w:numPr>
          <w:ilvl w:val="3"/>
          <w:numId w:val="4"/>
        </w:numPr>
        <w:tabs>
          <w:tab w:pos="1358" w:val="left" w:leader="none"/>
          <w:tab w:pos="1359" w:val="left" w:leader="none"/>
        </w:tabs>
        <w:spacing w:line="240" w:lineRule="auto" w:before="0" w:after="0"/>
        <w:ind w:left="1359" w:right="1173" w:hanging="1080"/>
        <w:jc w:val="left"/>
        <w:rPr>
          <w:sz w:val="24"/>
        </w:rPr>
      </w:pPr>
      <w:r>
        <w:rPr>
          <w:sz w:val="24"/>
        </w:rPr>
        <w:t>Identify which personnel need to be trained, including at a minimum all members of the Stormwater Pollution Prevention Team in section 6.1.2, their responsibilities, and the type of training they shall</w:t>
      </w:r>
      <w:r>
        <w:rPr>
          <w:spacing w:val="-9"/>
          <w:sz w:val="24"/>
        </w:rPr>
        <w:t> </w:t>
      </w:r>
      <w:r>
        <w:rPr>
          <w:sz w:val="24"/>
        </w:rPr>
        <w:t>receive;</w:t>
      </w:r>
    </w:p>
    <w:p>
      <w:pPr>
        <w:pStyle w:val="BodyText"/>
        <w:spacing w:before="9"/>
        <w:rPr>
          <w:sz w:val="20"/>
        </w:rPr>
      </w:pPr>
    </w:p>
    <w:p>
      <w:pPr>
        <w:pStyle w:val="ListParagraph"/>
        <w:numPr>
          <w:ilvl w:val="3"/>
          <w:numId w:val="4"/>
        </w:numPr>
        <w:tabs>
          <w:tab w:pos="1359" w:val="left" w:leader="none"/>
          <w:tab w:pos="1360" w:val="left" w:leader="none"/>
        </w:tabs>
        <w:spacing w:line="240" w:lineRule="auto" w:before="0" w:after="0"/>
        <w:ind w:left="1359" w:right="0" w:hanging="1081"/>
        <w:jc w:val="left"/>
        <w:rPr>
          <w:sz w:val="24"/>
        </w:rPr>
      </w:pPr>
      <w:r>
        <w:rPr>
          <w:sz w:val="24"/>
        </w:rPr>
        <w:t>Provide a training schedule;</w:t>
      </w:r>
      <w:r>
        <w:rPr>
          <w:spacing w:val="-1"/>
          <w:sz w:val="24"/>
        </w:rPr>
        <w:t> </w:t>
      </w:r>
      <w:r>
        <w:rPr>
          <w:sz w:val="24"/>
        </w:rPr>
        <w:t>and</w:t>
      </w:r>
    </w:p>
    <w:p>
      <w:pPr>
        <w:pStyle w:val="BodyText"/>
        <w:spacing w:before="10"/>
        <w:rPr>
          <w:sz w:val="20"/>
        </w:rPr>
      </w:pPr>
    </w:p>
    <w:p>
      <w:pPr>
        <w:pStyle w:val="ListParagraph"/>
        <w:numPr>
          <w:ilvl w:val="3"/>
          <w:numId w:val="4"/>
        </w:numPr>
        <w:tabs>
          <w:tab w:pos="1358" w:val="left" w:leader="none"/>
          <w:tab w:pos="1359" w:val="left" w:leader="none"/>
        </w:tabs>
        <w:spacing w:line="240" w:lineRule="auto" w:before="0" w:after="0"/>
        <w:ind w:left="1359" w:right="1332" w:hanging="1080"/>
        <w:jc w:val="left"/>
        <w:rPr>
          <w:sz w:val="24"/>
        </w:rPr>
      </w:pPr>
      <w:r>
        <w:rPr>
          <w:sz w:val="24"/>
        </w:rPr>
        <w:t>Document all completed training and the personnel that received training in the implementation of the Stormwater Pollution Prevention</w:t>
      </w:r>
      <w:r>
        <w:rPr>
          <w:spacing w:val="-13"/>
          <w:sz w:val="24"/>
        </w:rPr>
        <w:t> </w:t>
      </w:r>
      <w:r>
        <w:rPr>
          <w:sz w:val="24"/>
        </w:rPr>
        <w:t>Plan.</w:t>
      </w:r>
    </w:p>
    <w:p>
      <w:pPr>
        <w:pStyle w:val="BodyText"/>
        <w:spacing w:before="10"/>
        <w:rPr>
          <w:sz w:val="20"/>
        </w:rPr>
      </w:pPr>
    </w:p>
    <w:p>
      <w:pPr>
        <w:pStyle w:val="Heading1"/>
        <w:numPr>
          <w:ilvl w:val="1"/>
          <w:numId w:val="4"/>
        </w:numPr>
        <w:tabs>
          <w:tab w:pos="871" w:val="left" w:leader="none"/>
        </w:tabs>
        <w:spacing w:line="240" w:lineRule="auto" w:before="0" w:after="0"/>
        <w:ind w:left="870" w:right="0" w:hanging="592"/>
        <w:jc w:val="left"/>
      </w:pPr>
      <w:bookmarkStart w:name="_TOC_250026" w:id="26"/>
      <w:r>
        <w:rPr/>
        <w:t>BMP Summary</w:t>
      </w:r>
      <w:r>
        <w:rPr>
          <w:spacing w:val="-1"/>
        </w:rPr>
        <w:t> </w:t>
      </w:r>
      <w:bookmarkEnd w:id="26"/>
      <w:r>
        <w:rPr/>
        <w:t>Table.</w:t>
      </w:r>
    </w:p>
    <w:p>
      <w:pPr>
        <w:pStyle w:val="BodyText"/>
        <w:rPr>
          <w:b/>
        </w:rPr>
      </w:pPr>
    </w:p>
    <w:p>
      <w:pPr>
        <w:pStyle w:val="BodyText"/>
        <w:ind w:left="870" w:right="1927"/>
      </w:pPr>
      <w:r>
        <w:rPr/>
        <w:t>The Discharger shall summarize all the structural BMPs for the facility in a summary table. The summary table shall contain:</w:t>
      </w:r>
    </w:p>
    <w:p>
      <w:pPr>
        <w:pStyle w:val="BodyText"/>
        <w:spacing w:before="10"/>
        <w:rPr>
          <w:sz w:val="20"/>
        </w:rPr>
      </w:pPr>
    </w:p>
    <w:p>
      <w:pPr>
        <w:pStyle w:val="ListParagraph"/>
        <w:numPr>
          <w:ilvl w:val="2"/>
          <w:numId w:val="4"/>
        </w:numPr>
        <w:tabs>
          <w:tab w:pos="1100" w:val="left" w:leader="none"/>
          <w:tab w:pos="1101" w:val="left" w:leader="none"/>
        </w:tabs>
        <w:spacing w:line="240" w:lineRule="auto" w:before="0" w:after="0"/>
        <w:ind w:left="1100" w:right="0" w:hanging="822"/>
        <w:jc w:val="left"/>
        <w:rPr>
          <w:sz w:val="24"/>
        </w:rPr>
      </w:pPr>
      <w:r>
        <w:rPr>
          <w:sz w:val="24"/>
        </w:rPr>
        <w:t>A brief description of the</w:t>
      </w:r>
      <w:r>
        <w:rPr>
          <w:spacing w:val="-2"/>
          <w:sz w:val="24"/>
        </w:rPr>
        <w:t> </w:t>
      </w:r>
      <w:r>
        <w:rPr>
          <w:sz w:val="24"/>
        </w:rPr>
        <w:t>BMP;</w:t>
      </w:r>
    </w:p>
    <w:p>
      <w:pPr>
        <w:pStyle w:val="BodyText"/>
        <w:spacing w:before="10"/>
        <w:rPr>
          <w:sz w:val="20"/>
        </w:rPr>
      </w:pPr>
    </w:p>
    <w:p>
      <w:pPr>
        <w:pStyle w:val="ListParagraph"/>
        <w:numPr>
          <w:ilvl w:val="2"/>
          <w:numId w:val="4"/>
        </w:numPr>
        <w:tabs>
          <w:tab w:pos="1100" w:val="left" w:leader="none"/>
          <w:tab w:pos="1101" w:val="left" w:leader="none"/>
        </w:tabs>
        <w:spacing w:line="240" w:lineRule="auto" w:before="0" w:after="0"/>
        <w:ind w:left="1100" w:right="0" w:hanging="822"/>
        <w:jc w:val="left"/>
        <w:rPr>
          <w:sz w:val="24"/>
        </w:rPr>
      </w:pPr>
      <w:r>
        <w:rPr>
          <w:sz w:val="24"/>
        </w:rPr>
        <w:t>The location of the</w:t>
      </w:r>
      <w:r>
        <w:rPr>
          <w:spacing w:val="-1"/>
          <w:sz w:val="24"/>
        </w:rPr>
        <w:t> </w:t>
      </w:r>
      <w:r>
        <w:rPr>
          <w:sz w:val="24"/>
        </w:rPr>
        <w:t>BMP;</w:t>
      </w:r>
    </w:p>
    <w:p>
      <w:pPr>
        <w:pStyle w:val="BodyText"/>
        <w:spacing w:before="10"/>
        <w:rPr>
          <w:sz w:val="20"/>
        </w:rPr>
      </w:pPr>
    </w:p>
    <w:p>
      <w:pPr>
        <w:pStyle w:val="ListParagraph"/>
        <w:numPr>
          <w:ilvl w:val="2"/>
          <w:numId w:val="4"/>
        </w:numPr>
        <w:tabs>
          <w:tab w:pos="1099" w:val="left" w:leader="none"/>
          <w:tab w:pos="1101" w:val="left" w:leader="none"/>
        </w:tabs>
        <w:spacing w:line="240" w:lineRule="auto" w:before="0" w:after="0"/>
        <w:ind w:left="1100" w:right="0" w:hanging="822"/>
        <w:jc w:val="left"/>
        <w:rPr>
          <w:sz w:val="24"/>
        </w:rPr>
      </w:pPr>
      <w:r>
        <w:rPr>
          <w:sz w:val="24"/>
        </w:rPr>
        <w:t>The drainage area for the BMP;</w:t>
      </w:r>
      <w:r>
        <w:rPr>
          <w:spacing w:val="-2"/>
          <w:sz w:val="24"/>
        </w:rPr>
        <w:t> </w:t>
      </w:r>
      <w:r>
        <w:rPr>
          <w:sz w:val="24"/>
        </w:rPr>
        <w:t>and</w:t>
      </w:r>
    </w:p>
    <w:p>
      <w:pPr>
        <w:spacing w:after="0" w:line="240" w:lineRule="auto"/>
        <w:jc w:val="left"/>
        <w:rPr>
          <w:sz w:val="24"/>
        </w:rPr>
        <w:sectPr>
          <w:pgSz w:w="12240" w:h="15840"/>
          <w:pgMar w:header="728" w:footer="788" w:top="1540" w:bottom="980" w:left="1160" w:right="420"/>
        </w:sectPr>
      </w:pPr>
    </w:p>
    <w:p>
      <w:pPr>
        <w:pStyle w:val="BodyText"/>
        <w:spacing w:before="11"/>
        <w:rPr>
          <w:sz w:val="15"/>
        </w:rPr>
      </w:pPr>
    </w:p>
    <w:p>
      <w:pPr>
        <w:pStyle w:val="ListParagraph"/>
        <w:numPr>
          <w:ilvl w:val="2"/>
          <w:numId w:val="4"/>
        </w:numPr>
        <w:tabs>
          <w:tab w:pos="1100" w:val="left" w:leader="none"/>
          <w:tab w:pos="1101" w:val="left" w:leader="none"/>
        </w:tabs>
        <w:spacing w:line="240" w:lineRule="auto" w:before="92" w:after="0"/>
        <w:ind w:left="1100" w:right="0" w:hanging="821"/>
        <w:jc w:val="left"/>
        <w:rPr>
          <w:sz w:val="24"/>
        </w:rPr>
      </w:pPr>
      <w:r>
        <w:rPr>
          <w:sz w:val="24"/>
        </w:rPr>
        <w:t>Frequency for inspection of the</w:t>
      </w:r>
      <w:r>
        <w:rPr>
          <w:spacing w:val="-1"/>
          <w:sz w:val="24"/>
        </w:rPr>
        <w:t> </w:t>
      </w:r>
      <w:r>
        <w:rPr>
          <w:sz w:val="24"/>
        </w:rPr>
        <w:t>BMP.</w:t>
      </w:r>
    </w:p>
    <w:p>
      <w:pPr>
        <w:pStyle w:val="BodyText"/>
        <w:spacing w:before="10"/>
        <w:rPr>
          <w:sz w:val="20"/>
        </w:rPr>
      </w:pPr>
    </w:p>
    <w:p>
      <w:pPr>
        <w:pStyle w:val="ListParagraph"/>
        <w:numPr>
          <w:ilvl w:val="2"/>
          <w:numId w:val="4"/>
        </w:numPr>
        <w:tabs>
          <w:tab w:pos="1100" w:val="left" w:leader="none"/>
          <w:tab w:pos="1101" w:val="left" w:leader="none"/>
        </w:tabs>
        <w:spacing w:line="240" w:lineRule="auto" w:before="0" w:after="0"/>
        <w:ind w:left="1100" w:right="1047" w:hanging="821"/>
        <w:jc w:val="left"/>
        <w:rPr>
          <w:sz w:val="24"/>
        </w:rPr>
      </w:pPr>
      <w:r>
        <w:rPr>
          <w:sz w:val="24"/>
          <w:u w:val="single"/>
        </w:rPr>
        <w:t>Non-structural BMPs.</w:t>
      </w:r>
      <w:r>
        <w:rPr>
          <w:sz w:val="24"/>
        </w:rPr>
        <w:t> The Discharger shall summarize the non-structural BMPs (e.g., site observations and inspections) in a summary table. The summary table shall</w:t>
      </w:r>
      <w:r>
        <w:rPr>
          <w:spacing w:val="-1"/>
          <w:sz w:val="24"/>
        </w:rPr>
        <w:t> </w:t>
      </w:r>
      <w:r>
        <w:rPr>
          <w:sz w:val="24"/>
        </w:rPr>
        <w:t>contain:</w:t>
      </w:r>
    </w:p>
    <w:p>
      <w:pPr>
        <w:pStyle w:val="BodyText"/>
        <w:spacing w:before="10"/>
        <w:rPr>
          <w:sz w:val="20"/>
        </w:rPr>
      </w:pPr>
    </w:p>
    <w:p>
      <w:pPr>
        <w:pStyle w:val="ListParagraph"/>
        <w:numPr>
          <w:ilvl w:val="3"/>
          <w:numId w:val="4"/>
        </w:numPr>
        <w:tabs>
          <w:tab w:pos="1359" w:val="left" w:leader="none"/>
          <w:tab w:pos="1360" w:val="left" w:leader="none"/>
        </w:tabs>
        <w:spacing w:line="240" w:lineRule="auto" w:before="0" w:after="0"/>
        <w:ind w:left="1359" w:right="0" w:hanging="1080"/>
        <w:jc w:val="left"/>
        <w:rPr>
          <w:sz w:val="24"/>
        </w:rPr>
      </w:pPr>
      <w:r>
        <w:rPr>
          <w:sz w:val="24"/>
        </w:rPr>
        <w:t>A brief description of the</w:t>
      </w:r>
      <w:r>
        <w:rPr>
          <w:spacing w:val="-1"/>
          <w:sz w:val="24"/>
        </w:rPr>
        <w:t> </w:t>
      </w:r>
      <w:r>
        <w:rPr>
          <w:sz w:val="24"/>
        </w:rPr>
        <w:t>BMP;</w:t>
      </w:r>
    </w:p>
    <w:p>
      <w:pPr>
        <w:pStyle w:val="BodyText"/>
        <w:spacing w:before="10"/>
        <w:rPr>
          <w:sz w:val="20"/>
        </w:rPr>
      </w:pPr>
    </w:p>
    <w:p>
      <w:pPr>
        <w:pStyle w:val="ListParagraph"/>
        <w:numPr>
          <w:ilvl w:val="3"/>
          <w:numId w:val="4"/>
        </w:numPr>
        <w:tabs>
          <w:tab w:pos="1359" w:val="left" w:leader="none"/>
          <w:tab w:pos="1360" w:val="left" w:leader="none"/>
        </w:tabs>
        <w:spacing w:line="240" w:lineRule="auto" w:before="0" w:after="0"/>
        <w:ind w:left="1360" w:right="1308" w:hanging="1080"/>
        <w:jc w:val="left"/>
        <w:rPr>
          <w:sz w:val="24"/>
        </w:rPr>
      </w:pPr>
      <w:r>
        <w:rPr>
          <w:sz w:val="24"/>
        </w:rPr>
        <w:t>The frequency, time(s) of day, or conditions when the BMP is scheduled for implementation;</w:t>
      </w:r>
    </w:p>
    <w:p>
      <w:pPr>
        <w:pStyle w:val="BodyText"/>
        <w:spacing w:before="10"/>
        <w:rPr>
          <w:sz w:val="20"/>
        </w:rPr>
      </w:pPr>
    </w:p>
    <w:p>
      <w:pPr>
        <w:pStyle w:val="ListParagraph"/>
        <w:numPr>
          <w:ilvl w:val="3"/>
          <w:numId w:val="4"/>
        </w:numPr>
        <w:tabs>
          <w:tab w:pos="1358" w:val="left" w:leader="none"/>
          <w:tab w:pos="1359" w:val="left" w:leader="none"/>
        </w:tabs>
        <w:spacing w:line="240" w:lineRule="auto" w:before="0" w:after="0"/>
        <w:ind w:left="1358" w:right="0" w:hanging="1079"/>
        <w:jc w:val="left"/>
        <w:rPr>
          <w:sz w:val="24"/>
        </w:rPr>
      </w:pPr>
      <w:r>
        <w:rPr>
          <w:sz w:val="24"/>
        </w:rPr>
        <w:t>The locations where the BMP shall be</w:t>
      </w:r>
      <w:r>
        <w:rPr>
          <w:spacing w:val="-3"/>
          <w:sz w:val="24"/>
        </w:rPr>
        <w:t> </w:t>
      </w:r>
      <w:r>
        <w:rPr>
          <w:sz w:val="24"/>
        </w:rPr>
        <w:t>implemented;</w:t>
      </w:r>
    </w:p>
    <w:p>
      <w:pPr>
        <w:pStyle w:val="BodyText"/>
        <w:spacing w:before="10"/>
        <w:rPr>
          <w:sz w:val="20"/>
        </w:rPr>
      </w:pPr>
    </w:p>
    <w:p>
      <w:pPr>
        <w:pStyle w:val="ListParagraph"/>
        <w:numPr>
          <w:ilvl w:val="3"/>
          <w:numId w:val="4"/>
        </w:numPr>
        <w:tabs>
          <w:tab w:pos="1358" w:val="left" w:leader="none"/>
          <w:tab w:pos="1359" w:val="left" w:leader="none"/>
        </w:tabs>
        <w:spacing w:line="240" w:lineRule="auto" w:before="1" w:after="0"/>
        <w:ind w:left="1358" w:right="0" w:hanging="1079"/>
        <w:jc w:val="left"/>
        <w:rPr>
          <w:sz w:val="24"/>
        </w:rPr>
      </w:pPr>
      <w:r>
        <w:rPr>
          <w:sz w:val="24"/>
        </w:rPr>
        <w:t>The individual and/or position responsible for implementing the BMP;</w:t>
      </w:r>
      <w:r>
        <w:rPr>
          <w:spacing w:val="-13"/>
          <w:sz w:val="24"/>
        </w:rPr>
        <w:t> </w:t>
      </w:r>
      <w:r>
        <w:rPr>
          <w:sz w:val="24"/>
        </w:rPr>
        <w:t>and</w:t>
      </w:r>
    </w:p>
    <w:p>
      <w:pPr>
        <w:pStyle w:val="BodyText"/>
        <w:spacing w:before="9"/>
        <w:rPr>
          <w:sz w:val="20"/>
        </w:rPr>
      </w:pPr>
    </w:p>
    <w:p>
      <w:pPr>
        <w:pStyle w:val="ListParagraph"/>
        <w:numPr>
          <w:ilvl w:val="3"/>
          <w:numId w:val="4"/>
        </w:numPr>
        <w:tabs>
          <w:tab w:pos="1358" w:val="left" w:leader="none"/>
          <w:tab w:pos="1359" w:val="left" w:leader="none"/>
        </w:tabs>
        <w:spacing w:line="240" w:lineRule="auto" w:before="1" w:after="0"/>
        <w:ind w:left="1360" w:right="1095" w:hanging="1080"/>
        <w:jc w:val="left"/>
        <w:rPr>
          <w:sz w:val="24"/>
        </w:rPr>
      </w:pPr>
      <w:r>
        <w:rPr>
          <w:sz w:val="24"/>
        </w:rPr>
        <w:t>Corrective actions the Discharger will take if a BMP is determined, or presumed</w:t>
      </w:r>
      <w:r>
        <w:rPr>
          <w:spacing w:val="-5"/>
          <w:sz w:val="24"/>
        </w:rPr>
        <w:t> </w:t>
      </w:r>
      <w:r>
        <w:rPr>
          <w:sz w:val="24"/>
        </w:rPr>
        <w:t>to</w:t>
      </w:r>
      <w:r>
        <w:rPr>
          <w:spacing w:val="-4"/>
          <w:sz w:val="24"/>
        </w:rPr>
        <w:t> </w:t>
      </w:r>
      <w:r>
        <w:rPr>
          <w:sz w:val="24"/>
        </w:rPr>
        <w:t>be,</w:t>
      </w:r>
      <w:r>
        <w:rPr>
          <w:spacing w:val="-5"/>
          <w:sz w:val="24"/>
        </w:rPr>
        <w:t> </w:t>
      </w:r>
      <w:r>
        <w:rPr>
          <w:sz w:val="24"/>
        </w:rPr>
        <w:t>ineffective.</w:t>
      </w:r>
      <w:r>
        <w:rPr>
          <w:spacing w:val="-4"/>
          <w:sz w:val="24"/>
        </w:rPr>
        <w:t> </w:t>
      </w:r>
      <w:r>
        <w:rPr>
          <w:sz w:val="24"/>
        </w:rPr>
        <w:t>Corrective</w:t>
      </w:r>
      <w:r>
        <w:rPr>
          <w:spacing w:val="-4"/>
          <w:sz w:val="24"/>
        </w:rPr>
        <w:t> </w:t>
      </w:r>
      <w:r>
        <w:rPr>
          <w:sz w:val="24"/>
        </w:rPr>
        <w:t>actions</w:t>
      </w:r>
      <w:r>
        <w:rPr>
          <w:spacing w:val="-5"/>
          <w:sz w:val="24"/>
        </w:rPr>
        <w:t> </w:t>
      </w:r>
      <w:r>
        <w:rPr>
          <w:sz w:val="24"/>
        </w:rPr>
        <w:t>will,</w:t>
      </w:r>
      <w:r>
        <w:rPr>
          <w:spacing w:val="-4"/>
          <w:sz w:val="24"/>
        </w:rPr>
        <w:t> </w:t>
      </w:r>
      <w:r>
        <w:rPr>
          <w:sz w:val="24"/>
        </w:rPr>
        <w:t>at</w:t>
      </w:r>
      <w:r>
        <w:rPr>
          <w:spacing w:val="-4"/>
          <w:sz w:val="24"/>
        </w:rPr>
        <w:t> </w:t>
      </w:r>
      <w:r>
        <w:rPr>
          <w:sz w:val="24"/>
        </w:rPr>
        <w:t>a</w:t>
      </w:r>
      <w:r>
        <w:rPr>
          <w:spacing w:val="-5"/>
          <w:sz w:val="24"/>
        </w:rPr>
        <w:t> </w:t>
      </w:r>
      <w:r>
        <w:rPr>
          <w:sz w:val="24"/>
        </w:rPr>
        <w:t>minimum,</w:t>
      </w:r>
      <w:r>
        <w:rPr>
          <w:spacing w:val="-4"/>
          <w:sz w:val="24"/>
        </w:rPr>
        <w:t> </w:t>
      </w:r>
      <w:r>
        <w:rPr>
          <w:sz w:val="24"/>
        </w:rPr>
        <w:t>include</w:t>
      </w:r>
      <w:r>
        <w:rPr>
          <w:spacing w:val="-5"/>
          <w:sz w:val="24"/>
        </w:rPr>
        <w:t> </w:t>
      </w:r>
      <w:r>
        <w:rPr>
          <w:sz w:val="24"/>
        </w:rPr>
        <w:t>the requirements listed in section 10.2.6 of this</w:t>
      </w:r>
      <w:r>
        <w:rPr>
          <w:spacing w:val="-5"/>
          <w:sz w:val="24"/>
        </w:rPr>
        <w:t> </w:t>
      </w:r>
      <w:r>
        <w:rPr>
          <w:sz w:val="24"/>
        </w:rPr>
        <w:t>Order.</w:t>
      </w:r>
    </w:p>
    <w:p>
      <w:pPr>
        <w:pStyle w:val="BodyText"/>
        <w:spacing w:before="9"/>
        <w:rPr>
          <w:sz w:val="20"/>
        </w:rPr>
      </w:pPr>
    </w:p>
    <w:p>
      <w:pPr>
        <w:pStyle w:val="Heading1"/>
        <w:numPr>
          <w:ilvl w:val="0"/>
          <w:numId w:val="4"/>
        </w:numPr>
        <w:tabs>
          <w:tab w:pos="640" w:val="left" w:leader="none"/>
        </w:tabs>
        <w:spacing w:line="240" w:lineRule="auto" w:before="1" w:after="0"/>
        <w:ind w:left="639" w:right="0" w:hanging="360"/>
        <w:jc w:val="left"/>
      </w:pPr>
      <w:bookmarkStart w:name="_TOC_250025" w:id="27"/>
      <w:bookmarkEnd w:id="27"/>
      <w:r>
        <w:rPr/>
        <w:t>EFFLUENT LIMITATIONS.</w:t>
      </w:r>
    </w:p>
    <w:p>
      <w:pPr>
        <w:pStyle w:val="BodyText"/>
        <w:spacing w:before="10"/>
        <w:rPr>
          <w:b/>
          <w:sz w:val="20"/>
        </w:rPr>
      </w:pPr>
    </w:p>
    <w:p>
      <w:pPr>
        <w:pStyle w:val="Heading1"/>
        <w:numPr>
          <w:ilvl w:val="1"/>
          <w:numId w:val="4"/>
        </w:numPr>
        <w:tabs>
          <w:tab w:pos="871" w:val="left" w:leader="none"/>
        </w:tabs>
        <w:spacing w:line="240" w:lineRule="auto" w:before="0" w:after="0"/>
        <w:ind w:left="870" w:right="0" w:hanging="591"/>
        <w:jc w:val="left"/>
      </w:pPr>
      <w:bookmarkStart w:name="_TOC_250024" w:id="28"/>
      <w:r>
        <w:rPr/>
        <w:t>Technology Based Effluent</w:t>
      </w:r>
      <w:r>
        <w:rPr>
          <w:spacing w:val="-2"/>
        </w:rPr>
        <w:t> </w:t>
      </w:r>
      <w:bookmarkEnd w:id="28"/>
      <w:r>
        <w:rPr/>
        <w:t>Limitations.</w:t>
      </w:r>
    </w:p>
    <w:p>
      <w:pPr>
        <w:pStyle w:val="BodyText"/>
        <w:spacing w:before="10"/>
        <w:rPr>
          <w:b/>
          <w:sz w:val="20"/>
        </w:rPr>
      </w:pPr>
    </w:p>
    <w:p>
      <w:pPr>
        <w:pStyle w:val="BodyText"/>
        <w:ind w:left="870" w:right="1591"/>
      </w:pPr>
      <w:r>
        <w:rPr/>
        <w:t>Regardless of the compliance option selected for water quality based effluent limitations in section 7.2, all dischargers shall maintain compliance with the technology based effluent limitations in section 7.1.1.</w:t>
      </w:r>
    </w:p>
    <w:p>
      <w:pPr>
        <w:pStyle w:val="BodyText"/>
        <w:spacing w:before="10"/>
        <w:rPr>
          <w:sz w:val="20"/>
        </w:rPr>
      </w:pPr>
    </w:p>
    <w:p>
      <w:pPr>
        <w:pStyle w:val="ListParagraph"/>
        <w:numPr>
          <w:ilvl w:val="2"/>
          <w:numId w:val="4"/>
        </w:numPr>
        <w:tabs>
          <w:tab w:pos="1099" w:val="left" w:leader="none"/>
          <w:tab w:pos="1100" w:val="left" w:leader="none"/>
        </w:tabs>
        <w:spacing w:line="240" w:lineRule="auto" w:before="0" w:after="0"/>
        <w:ind w:left="1100" w:right="1085" w:hanging="821"/>
        <w:jc w:val="left"/>
        <w:rPr>
          <w:sz w:val="24"/>
        </w:rPr>
      </w:pPr>
      <w:r>
        <w:rPr>
          <w:sz w:val="24"/>
        </w:rPr>
        <w:t>Dischargers shall implement BMPs that comply with the best conventional pollutant control technology (BCT) and best available technology economically achievable (BAT) requirements of this Order to reduce or prevent discharges of pollutants in their stormwater discharge in a manner that reflects best industry practice considering technological availability and economic practicability and achievability. Compliance with technology based effluent limitations shall be determined through implementation of the SWPPP described in section 6 of this Order.</w:t>
      </w:r>
    </w:p>
    <w:p>
      <w:pPr>
        <w:pStyle w:val="BodyText"/>
        <w:spacing w:before="9"/>
        <w:rPr>
          <w:sz w:val="20"/>
        </w:rPr>
      </w:pPr>
    </w:p>
    <w:p>
      <w:pPr>
        <w:pStyle w:val="Heading1"/>
        <w:numPr>
          <w:ilvl w:val="1"/>
          <w:numId w:val="4"/>
        </w:numPr>
        <w:tabs>
          <w:tab w:pos="871" w:val="left" w:leader="none"/>
        </w:tabs>
        <w:spacing w:line="240" w:lineRule="auto" w:before="0" w:after="0"/>
        <w:ind w:left="870" w:right="0" w:hanging="591"/>
        <w:jc w:val="left"/>
      </w:pPr>
      <w:bookmarkStart w:name="_TOC_250023" w:id="29"/>
      <w:r>
        <w:rPr/>
        <w:t>Water Quality Based Effluent</w:t>
      </w:r>
      <w:r>
        <w:rPr>
          <w:spacing w:val="-3"/>
        </w:rPr>
        <w:t> </w:t>
      </w:r>
      <w:bookmarkEnd w:id="29"/>
      <w:r>
        <w:rPr/>
        <w:t>Limitations.</w:t>
      </w:r>
    </w:p>
    <w:p>
      <w:pPr>
        <w:pStyle w:val="BodyText"/>
        <w:spacing w:before="10"/>
        <w:rPr>
          <w:b/>
          <w:sz w:val="20"/>
        </w:rPr>
      </w:pPr>
    </w:p>
    <w:p>
      <w:pPr>
        <w:pStyle w:val="ListParagraph"/>
        <w:numPr>
          <w:ilvl w:val="2"/>
          <w:numId w:val="4"/>
        </w:numPr>
        <w:tabs>
          <w:tab w:pos="1100" w:val="left" w:leader="none"/>
          <w:tab w:pos="1101" w:val="left" w:leader="none"/>
        </w:tabs>
        <w:spacing w:line="240" w:lineRule="auto" w:before="0" w:after="0"/>
        <w:ind w:left="1100" w:right="1300" w:hanging="821"/>
        <w:jc w:val="left"/>
        <w:rPr>
          <w:sz w:val="24"/>
        </w:rPr>
      </w:pPr>
      <w:r>
        <w:rPr>
          <w:sz w:val="24"/>
        </w:rPr>
        <w:t>The</w:t>
      </w:r>
      <w:r>
        <w:rPr>
          <w:spacing w:val="-4"/>
          <w:sz w:val="24"/>
        </w:rPr>
        <w:t> </w:t>
      </w:r>
      <w:r>
        <w:rPr>
          <w:sz w:val="24"/>
        </w:rPr>
        <w:t>effluent</w:t>
      </w:r>
      <w:r>
        <w:rPr>
          <w:spacing w:val="-4"/>
          <w:sz w:val="24"/>
        </w:rPr>
        <w:t> </w:t>
      </w:r>
      <w:r>
        <w:rPr>
          <w:sz w:val="24"/>
        </w:rPr>
        <w:t>limitations</w:t>
      </w:r>
      <w:r>
        <w:rPr>
          <w:spacing w:val="-3"/>
          <w:sz w:val="24"/>
        </w:rPr>
        <w:t> </w:t>
      </w:r>
      <w:r>
        <w:rPr>
          <w:sz w:val="24"/>
        </w:rPr>
        <w:t>in</w:t>
      </w:r>
      <w:r>
        <w:rPr>
          <w:spacing w:val="-4"/>
          <w:sz w:val="24"/>
        </w:rPr>
        <w:t> </w:t>
      </w:r>
      <w:r>
        <w:rPr>
          <w:sz w:val="24"/>
        </w:rPr>
        <w:t>Table</w:t>
      </w:r>
      <w:r>
        <w:rPr>
          <w:spacing w:val="-3"/>
          <w:sz w:val="24"/>
        </w:rPr>
        <w:t> </w:t>
      </w:r>
      <w:r>
        <w:rPr>
          <w:sz w:val="24"/>
        </w:rPr>
        <w:t>1</w:t>
      </w:r>
      <w:r>
        <w:rPr>
          <w:spacing w:val="-4"/>
          <w:sz w:val="24"/>
        </w:rPr>
        <w:t> </w:t>
      </w:r>
      <w:r>
        <w:rPr>
          <w:sz w:val="24"/>
        </w:rPr>
        <w:t>and</w:t>
      </w:r>
      <w:r>
        <w:rPr>
          <w:spacing w:val="-3"/>
          <w:sz w:val="24"/>
        </w:rPr>
        <w:t> </w:t>
      </w:r>
      <w:r>
        <w:rPr>
          <w:sz w:val="24"/>
        </w:rPr>
        <w:t>Table</w:t>
      </w:r>
      <w:r>
        <w:rPr>
          <w:spacing w:val="-4"/>
          <w:sz w:val="24"/>
        </w:rPr>
        <w:t> </w:t>
      </w:r>
      <w:r>
        <w:rPr>
          <w:sz w:val="24"/>
        </w:rPr>
        <w:t>2</w:t>
      </w:r>
      <w:r>
        <w:rPr>
          <w:spacing w:val="-3"/>
          <w:sz w:val="24"/>
        </w:rPr>
        <w:t> </w:t>
      </w:r>
      <w:r>
        <w:rPr>
          <w:sz w:val="24"/>
        </w:rPr>
        <w:t>apply</w:t>
      </w:r>
      <w:r>
        <w:rPr>
          <w:spacing w:val="-4"/>
          <w:sz w:val="24"/>
        </w:rPr>
        <w:t> </w:t>
      </w:r>
      <w:r>
        <w:rPr>
          <w:sz w:val="24"/>
        </w:rPr>
        <w:t>upon</w:t>
      </w:r>
      <w:r>
        <w:rPr>
          <w:spacing w:val="-3"/>
          <w:sz w:val="24"/>
        </w:rPr>
        <w:t> </w:t>
      </w:r>
      <w:r>
        <w:rPr>
          <w:sz w:val="24"/>
        </w:rPr>
        <w:t>the</w:t>
      </w:r>
      <w:r>
        <w:rPr>
          <w:spacing w:val="-4"/>
          <w:sz w:val="24"/>
        </w:rPr>
        <w:t> </w:t>
      </w:r>
      <w:r>
        <w:rPr>
          <w:sz w:val="24"/>
        </w:rPr>
        <w:t>effective</w:t>
      </w:r>
      <w:r>
        <w:rPr>
          <w:spacing w:val="-3"/>
          <w:sz w:val="24"/>
        </w:rPr>
        <w:t> </w:t>
      </w:r>
      <w:r>
        <w:rPr>
          <w:sz w:val="24"/>
        </w:rPr>
        <w:t>date</w:t>
      </w:r>
      <w:r>
        <w:rPr>
          <w:spacing w:val="-4"/>
          <w:sz w:val="24"/>
        </w:rPr>
        <w:t> </w:t>
      </w:r>
      <w:r>
        <w:rPr>
          <w:sz w:val="24"/>
        </w:rPr>
        <w:t>of this order and the effluent limitations in Table 3 and Table 4 apply upon the compliance deadlines noted in the tables. Compliance shall be determined through one of the three compliance options discussed in section 8 of this Order.</w:t>
      </w:r>
    </w:p>
    <w:p>
      <w:pPr>
        <w:spacing w:after="0" w:line="240" w:lineRule="auto"/>
        <w:jc w:val="left"/>
        <w:rPr>
          <w:sz w:val="24"/>
        </w:rPr>
        <w:sectPr>
          <w:pgSz w:w="12240" w:h="15840"/>
          <w:pgMar w:header="728" w:footer="788" w:top="1540" w:bottom="980" w:left="1160" w:right="420"/>
        </w:sectPr>
      </w:pPr>
    </w:p>
    <w:p>
      <w:pPr>
        <w:pStyle w:val="BodyText"/>
        <w:spacing w:before="11"/>
        <w:rPr>
          <w:sz w:val="15"/>
        </w:rPr>
      </w:pPr>
    </w:p>
    <w:p>
      <w:pPr>
        <w:pStyle w:val="Heading1"/>
        <w:spacing w:before="92"/>
        <w:ind w:left="280"/>
      </w:pPr>
      <w:r>
        <w:rPr/>
        <w:t>Table 1. Effluent Limitations Applicable to Specific Waterbodies</w:t>
      </w:r>
    </w:p>
    <w:tbl>
      <w:tblPr>
        <w:tblW w:w="0" w:type="auto"/>
        <w:jc w:val="left"/>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26"/>
        <w:gridCol w:w="2492"/>
        <w:gridCol w:w="894"/>
        <w:gridCol w:w="1248"/>
        <w:gridCol w:w="1690"/>
      </w:tblGrid>
      <w:tr>
        <w:trPr>
          <w:trHeight w:val="1559" w:hRule="atLeast"/>
        </w:trPr>
        <w:tc>
          <w:tcPr>
            <w:tcW w:w="3026" w:type="dxa"/>
            <w:shd w:val="clear" w:color="auto" w:fill="D9D9D9"/>
          </w:tcPr>
          <w:p>
            <w:pPr>
              <w:pStyle w:val="TableParagraph"/>
              <w:jc w:val="left"/>
              <w:rPr>
                <w:b/>
                <w:sz w:val="26"/>
              </w:rPr>
            </w:pPr>
          </w:p>
          <w:p>
            <w:pPr>
              <w:pStyle w:val="TableParagraph"/>
              <w:spacing w:before="11"/>
              <w:jc w:val="left"/>
              <w:rPr>
                <w:b/>
                <w:sz w:val="29"/>
              </w:rPr>
            </w:pPr>
          </w:p>
          <w:p>
            <w:pPr>
              <w:pStyle w:val="TableParagraph"/>
              <w:ind w:left="364" w:right="355"/>
              <w:rPr>
                <w:b/>
                <w:sz w:val="24"/>
              </w:rPr>
            </w:pPr>
            <w:r>
              <w:rPr>
                <w:b/>
                <w:sz w:val="24"/>
              </w:rPr>
              <w:t>Waterbody</w:t>
            </w:r>
          </w:p>
        </w:tc>
        <w:tc>
          <w:tcPr>
            <w:tcW w:w="2492" w:type="dxa"/>
            <w:shd w:val="clear" w:color="auto" w:fill="D9D9D9"/>
          </w:tcPr>
          <w:p>
            <w:pPr>
              <w:pStyle w:val="TableParagraph"/>
              <w:jc w:val="left"/>
              <w:rPr>
                <w:b/>
                <w:sz w:val="26"/>
              </w:rPr>
            </w:pPr>
          </w:p>
          <w:p>
            <w:pPr>
              <w:pStyle w:val="TableParagraph"/>
              <w:spacing w:before="11"/>
              <w:jc w:val="left"/>
              <w:rPr>
                <w:b/>
                <w:sz w:val="29"/>
              </w:rPr>
            </w:pPr>
          </w:p>
          <w:p>
            <w:pPr>
              <w:pStyle w:val="TableParagraph"/>
              <w:ind w:left="497" w:right="488"/>
              <w:rPr>
                <w:b/>
                <w:sz w:val="24"/>
              </w:rPr>
            </w:pPr>
            <w:r>
              <w:rPr>
                <w:b/>
                <w:sz w:val="24"/>
              </w:rPr>
              <w:t>Parameter</w:t>
            </w:r>
          </w:p>
        </w:tc>
        <w:tc>
          <w:tcPr>
            <w:tcW w:w="894" w:type="dxa"/>
            <w:shd w:val="clear" w:color="auto" w:fill="D9D9D9"/>
          </w:tcPr>
          <w:p>
            <w:pPr>
              <w:pStyle w:val="TableParagraph"/>
              <w:jc w:val="left"/>
              <w:rPr>
                <w:b/>
                <w:sz w:val="26"/>
              </w:rPr>
            </w:pPr>
          </w:p>
          <w:p>
            <w:pPr>
              <w:pStyle w:val="TableParagraph"/>
              <w:spacing w:before="11"/>
              <w:jc w:val="left"/>
              <w:rPr>
                <w:b/>
                <w:sz w:val="29"/>
              </w:rPr>
            </w:pPr>
          </w:p>
          <w:p>
            <w:pPr>
              <w:pStyle w:val="TableParagraph"/>
              <w:ind w:left="127" w:right="116"/>
              <w:rPr>
                <w:b/>
                <w:sz w:val="24"/>
              </w:rPr>
            </w:pPr>
            <w:r>
              <w:rPr>
                <w:b/>
                <w:sz w:val="24"/>
              </w:rPr>
              <w:t>Units</w:t>
            </w:r>
          </w:p>
        </w:tc>
        <w:tc>
          <w:tcPr>
            <w:tcW w:w="1248" w:type="dxa"/>
            <w:shd w:val="clear" w:color="auto" w:fill="D9D9D9"/>
          </w:tcPr>
          <w:p>
            <w:pPr>
              <w:pStyle w:val="TableParagraph"/>
              <w:jc w:val="left"/>
              <w:rPr>
                <w:b/>
                <w:sz w:val="26"/>
              </w:rPr>
            </w:pPr>
          </w:p>
          <w:p>
            <w:pPr>
              <w:pStyle w:val="TableParagraph"/>
              <w:spacing w:before="11"/>
              <w:jc w:val="left"/>
              <w:rPr>
                <w:b/>
                <w:sz w:val="29"/>
              </w:rPr>
            </w:pPr>
          </w:p>
          <w:p>
            <w:pPr>
              <w:pStyle w:val="TableParagraph"/>
              <w:ind w:left="69" w:right="59"/>
              <w:rPr>
                <w:b/>
                <w:sz w:val="24"/>
              </w:rPr>
            </w:pPr>
            <w:r>
              <w:rPr>
                <w:b/>
                <w:sz w:val="24"/>
              </w:rPr>
              <w:t>Value</w:t>
            </w:r>
          </w:p>
        </w:tc>
        <w:tc>
          <w:tcPr>
            <w:tcW w:w="1690" w:type="dxa"/>
            <w:shd w:val="clear" w:color="auto" w:fill="D9D9D9"/>
          </w:tcPr>
          <w:p>
            <w:pPr>
              <w:pStyle w:val="TableParagraph"/>
              <w:jc w:val="left"/>
              <w:rPr>
                <w:b/>
                <w:sz w:val="26"/>
              </w:rPr>
            </w:pPr>
          </w:p>
          <w:p>
            <w:pPr>
              <w:pStyle w:val="TableParagraph"/>
              <w:spacing w:before="205"/>
              <w:ind w:left="472" w:right="228" w:hanging="214"/>
              <w:jc w:val="left"/>
              <w:rPr>
                <w:b/>
                <w:sz w:val="24"/>
              </w:rPr>
            </w:pPr>
            <w:r>
              <w:rPr>
                <w:b/>
                <w:sz w:val="24"/>
              </w:rPr>
              <w:t>Averaging Period</w:t>
            </w:r>
          </w:p>
        </w:tc>
      </w:tr>
      <w:tr>
        <w:trPr>
          <w:trHeight w:val="748" w:hRule="atLeast"/>
        </w:trPr>
        <w:tc>
          <w:tcPr>
            <w:tcW w:w="3026" w:type="dxa"/>
          </w:tcPr>
          <w:p>
            <w:pPr>
              <w:pStyle w:val="TableParagraph"/>
              <w:spacing w:before="233"/>
              <w:ind w:left="364" w:right="356"/>
              <w:rPr>
                <w:sz w:val="16"/>
              </w:rPr>
            </w:pPr>
            <w:r>
              <w:rPr>
                <w:sz w:val="24"/>
              </w:rPr>
              <w:t>Alamitos Bay</w:t>
            </w:r>
            <w:r>
              <w:rPr>
                <w:position w:val="8"/>
                <w:sz w:val="16"/>
              </w:rPr>
              <w:t>1</w:t>
            </w:r>
          </w:p>
        </w:tc>
        <w:tc>
          <w:tcPr>
            <w:tcW w:w="2492" w:type="dxa"/>
          </w:tcPr>
          <w:p>
            <w:pPr>
              <w:pStyle w:val="TableParagraph"/>
              <w:spacing w:before="7"/>
              <w:jc w:val="left"/>
              <w:rPr>
                <w:b/>
                <w:sz w:val="20"/>
              </w:rPr>
            </w:pPr>
          </w:p>
          <w:p>
            <w:pPr>
              <w:pStyle w:val="TableParagraph"/>
              <w:spacing w:before="1"/>
              <w:ind w:left="498" w:right="488"/>
              <w:rPr>
                <w:sz w:val="24"/>
              </w:rPr>
            </w:pPr>
            <w:r>
              <w:rPr>
                <w:sz w:val="24"/>
              </w:rPr>
              <w:t>Enterococcus</w:t>
            </w:r>
          </w:p>
        </w:tc>
        <w:tc>
          <w:tcPr>
            <w:tcW w:w="894" w:type="dxa"/>
          </w:tcPr>
          <w:p>
            <w:pPr>
              <w:pStyle w:val="TableParagraph"/>
              <w:spacing w:before="98"/>
              <w:ind w:left="81" w:right="49" w:firstLine="174"/>
              <w:jc w:val="left"/>
              <w:rPr>
                <w:sz w:val="24"/>
              </w:rPr>
            </w:pPr>
            <w:r>
              <w:rPr>
                <w:sz w:val="24"/>
              </w:rPr>
              <w:t>cfu/ 100mL</w:t>
            </w:r>
          </w:p>
        </w:tc>
        <w:tc>
          <w:tcPr>
            <w:tcW w:w="1248" w:type="dxa"/>
          </w:tcPr>
          <w:p>
            <w:pPr>
              <w:pStyle w:val="TableParagraph"/>
              <w:spacing w:before="7"/>
              <w:jc w:val="left"/>
              <w:rPr>
                <w:b/>
                <w:sz w:val="20"/>
              </w:rPr>
            </w:pPr>
          </w:p>
          <w:p>
            <w:pPr>
              <w:pStyle w:val="TableParagraph"/>
              <w:spacing w:before="1"/>
              <w:ind w:left="69" w:right="59"/>
              <w:rPr>
                <w:sz w:val="24"/>
              </w:rPr>
            </w:pPr>
            <w:r>
              <w:rPr>
                <w:sz w:val="24"/>
              </w:rPr>
              <w:t>110</w:t>
            </w:r>
          </w:p>
        </w:tc>
        <w:tc>
          <w:tcPr>
            <w:tcW w:w="1690" w:type="dxa"/>
          </w:tcPr>
          <w:p>
            <w:pPr>
              <w:pStyle w:val="TableParagraph"/>
              <w:spacing w:before="233"/>
              <w:ind w:left="235" w:right="228"/>
              <w:rPr>
                <w:sz w:val="16"/>
              </w:rPr>
            </w:pPr>
            <w:r>
              <w:rPr>
                <w:sz w:val="24"/>
              </w:rPr>
              <w:t>STV</w:t>
            </w:r>
            <w:r>
              <w:rPr>
                <w:position w:val="8"/>
                <w:sz w:val="16"/>
              </w:rPr>
              <w:t>2</w:t>
            </w:r>
          </w:p>
        </w:tc>
      </w:tr>
      <w:tr>
        <w:trPr>
          <w:trHeight w:val="747" w:hRule="atLeast"/>
        </w:trPr>
        <w:tc>
          <w:tcPr>
            <w:tcW w:w="3026" w:type="dxa"/>
          </w:tcPr>
          <w:p>
            <w:pPr>
              <w:pStyle w:val="TableParagraph"/>
              <w:spacing w:before="98"/>
              <w:ind w:left="137" w:right="110" w:firstLine="213"/>
              <w:jc w:val="left"/>
              <w:rPr>
                <w:sz w:val="24"/>
              </w:rPr>
            </w:pPr>
            <w:r>
              <w:rPr>
                <w:sz w:val="24"/>
              </w:rPr>
              <w:t>Los Angeles Harbor – Inner Cabrillo Beach Area</w:t>
            </w:r>
          </w:p>
        </w:tc>
        <w:tc>
          <w:tcPr>
            <w:tcW w:w="2492" w:type="dxa"/>
          </w:tcPr>
          <w:p>
            <w:pPr>
              <w:pStyle w:val="TableParagraph"/>
              <w:spacing w:before="7"/>
              <w:jc w:val="left"/>
              <w:rPr>
                <w:b/>
                <w:sz w:val="20"/>
              </w:rPr>
            </w:pPr>
          </w:p>
          <w:p>
            <w:pPr>
              <w:pStyle w:val="TableParagraph"/>
              <w:spacing w:before="1"/>
              <w:ind w:left="498" w:right="488"/>
              <w:rPr>
                <w:sz w:val="24"/>
              </w:rPr>
            </w:pPr>
            <w:r>
              <w:rPr>
                <w:sz w:val="24"/>
              </w:rPr>
              <w:t>Enterococcus</w:t>
            </w:r>
          </w:p>
        </w:tc>
        <w:tc>
          <w:tcPr>
            <w:tcW w:w="894" w:type="dxa"/>
          </w:tcPr>
          <w:p>
            <w:pPr>
              <w:pStyle w:val="TableParagraph"/>
              <w:spacing w:before="98"/>
              <w:ind w:left="81" w:right="49" w:firstLine="174"/>
              <w:jc w:val="left"/>
              <w:rPr>
                <w:sz w:val="24"/>
              </w:rPr>
            </w:pPr>
            <w:r>
              <w:rPr>
                <w:sz w:val="24"/>
              </w:rPr>
              <w:t>cfu/ 100mL</w:t>
            </w:r>
          </w:p>
        </w:tc>
        <w:tc>
          <w:tcPr>
            <w:tcW w:w="1248" w:type="dxa"/>
          </w:tcPr>
          <w:p>
            <w:pPr>
              <w:pStyle w:val="TableParagraph"/>
              <w:spacing w:before="7"/>
              <w:jc w:val="left"/>
              <w:rPr>
                <w:b/>
                <w:sz w:val="20"/>
              </w:rPr>
            </w:pPr>
          </w:p>
          <w:p>
            <w:pPr>
              <w:pStyle w:val="TableParagraph"/>
              <w:spacing w:before="1"/>
              <w:ind w:left="69" w:right="59"/>
              <w:rPr>
                <w:sz w:val="24"/>
              </w:rPr>
            </w:pPr>
            <w:r>
              <w:rPr>
                <w:sz w:val="24"/>
              </w:rPr>
              <w:t>110</w:t>
            </w:r>
          </w:p>
        </w:tc>
        <w:tc>
          <w:tcPr>
            <w:tcW w:w="1690" w:type="dxa"/>
          </w:tcPr>
          <w:p>
            <w:pPr>
              <w:pStyle w:val="TableParagraph"/>
              <w:spacing w:before="233"/>
              <w:ind w:left="235" w:right="228"/>
              <w:rPr>
                <w:sz w:val="16"/>
              </w:rPr>
            </w:pPr>
            <w:r>
              <w:rPr>
                <w:sz w:val="24"/>
              </w:rPr>
              <w:t>STV</w:t>
            </w:r>
            <w:r>
              <w:rPr>
                <w:position w:val="8"/>
                <w:sz w:val="16"/>
              </w:rPr>
              <w:t>2</w:t>
            </w:r>
          </w:p>
        </w:tc>
      </w:tr>
      <w:tr>
        <w:trPr>
          <w:trHeight w:val="748" w:hRule="atLeast"/>
        </w:trPr>
        <w:tc>
          <w:tcPr>
            <w:tcW w:w="3026" w:type="dxa"/>
          </w:tcPr>
          <w:p>
            <w:pPr>
              <w:pStyle w:val="TableParagraph"/>
              <w:spacing w:before="98"/>
              <w:ind w:left="150" w:right="124" w:firstLine="133"/>
              <w:jc w:val="left"/>
              <w:rPr>
                <w:sz w:val="24"/>
              </w:rPr>
            </w:pPr>
            <w:r>
              <w:rPr>
                <w:sz w:val="24"/>
              </w:rPr>
              <w:t>Dominguez Channel or Torrance Lateral Channel</w:t>
            </w:r>
          </w:p>
        </w:tc>
        <w:tc>
          <w:tcPr>
            <w:tcW w:w="2492" w:type="dxa"/>
          </w:tcPr>
          <w:p>
            <w:pPr>
              <w:pStyle w:val="TableParagraph"/>
              <w:spacing w:before="98"/>
              <w:ind w:left="572" w:right="488" w:hanging="53"/>
              <w:jc w:val="left"/>
              <w:rPr>
                <w:sz w:val="24"/>
              </w:rPr>
            </w:pPr>
            <w:r>
              <w:rPr>
                <w:sz w:val="24"/>
              </w:rPr>
              <w:t>Copper, Total Recoverable</w:t>
            </w:r>
          </w:p>
        </w:tc>
        <w:tc>
          <w:tcPr>
            <w:tcW w:w="894" w:type="dxa"/>
          </w:tcPr>
          <w:p>
            <w:pPr>
              <w:pStyle w:val="TableParagraph"/>
              <w:spacing w:before="7"/>
              <w:jc w:val="left"/>
              <w:rPr>
                <w:b/>
                <w:sz w:val="20"/>
              </w:rPr>
            </w:pPr>
          </w:p>
          <w:p>
            <w:pPr>
              <w:pStyle w:val="TableParagraph"/>
              <w:spacing w:before="1"/>
              <w:ind w:left="126" w:right="116"/>
              <w:rPr>
                <w:sz w:val="24"/>
              </w:rPr>
            </w:pPr>
            <w:r>
              <w:rPr>
                <w:sz w:val="24"/>
              </w:rPr>
              <w:t>mg/L</w:t>
            </w:r>
          </w:p>
        </w:tc>
        <w:tc>
          <w:tcPr>
            <w:tcW w:w="1248" w:type="dxa"/>
          </w:tcPr>
          <w:p>
            <w:pPr>
              <w:pStyle w:val="TableParagraph"/>
              <w:spacing w:before="7"/>
              <w:jc w:val="left"/>
              <w:rPr>
                <w:b/>
                <w:sz w:val="20"/>
              </w:rPr>
            </w:pPr>
          </w:p>
          <w:p>
            <w:pPr>
              <w:pStyle w:val="TableParagraph"/>
              <w:spacing w:before="1"/>
              <w:ind w:left="69" w:right="60"/>
              <w:rPr>
                <w:sz w:val="24"/>
              </w:rPr>
            </w:pPr>
            <w:r>
              <w:rPr>
                <w:sz w:val="24"/>
              </w:rPr>
              <w:t>0.208</w:t>
            </w:r>
          </w:p>
        </w:tc>
        <w:tc>
          <w:tcPr>
            <w:tcW w:w="1690" w:type="dxa"/>
          </w:tcPr>
          <w:p>
            <w:pPr>
              <w:pStyle w:val="TableParagraph"/>
              <w:spacing w:before="98"/>
              <w:ind w:left="324" w:right="61" w:hanging="233"/>
              <w:jc w:val="left"/>
              <w:rPr>
                <w:sz w:val="24"/>
              </w:rPr>
            </w:pPr>
            <w:r>
              <w:rPr>
                <w:sz w:val="24"/>
              </w:rPr>
              <w:t>Instantaneous Maximum</w:t>
            </w:r>
          </w:p>
        </w:tc>
      </w:tr>
      <w:tr>
        <w:trPr>
          <w:trHeight w:val="748" w:hRule="atLeast"/>
        </w:trPr>
        <w:tc>
          <w:tcPr>
            <w:tcW w:w="3026" w:type="dxa"/>
          </w:tcPr>
          <w:p>
            <w:pPr>
              <w:pStyle w:val="TableParagraph"/>
              <w:spacing w:before="98"/>
              <w:ind w:left="150" w:right="124" w:firstLine="133"/>
              <w:jc w:val="left"/>
              <w:rPr>
                <w:sz w:val="24"/>
              </w:rPr>
            </w:pPr>
            <w:r>
              <w:rPr>
                <w:sz w:val="24"/>
              </w:rPr>
              <w:t>Dominguez Channel or Torrance Lateral Channel</w:t>
            </w:r>
          </w:p>
        </w:tc>
        <w:tc>
          <w:tcPr>
            <w:tcW w:w="2492" w:type="dxa"/>
          </w:tcPr>
          <w:p>
            <w:pPr>
              <w:pStyle w:val="TableParagraph"/>
              <w:spacing w:before="98"/>
              <w:ind w:left="572" w:right="542" w:firstLine="73"/>
              <w:jc w:val="left"/>
              <w:rPr>
                <w:sz w:val="24"/>
              </w:rPr>
            </w:pPr>
            <w:r>
              <w:rPr>
                <w:sz w:val="24"/>
              </w:rPr>
              <w:t>Lead, Total Recoverable</w:t>
            </w:r>
          </w:p>
        </w:tc>
        <w:tc>
          <w:tcPr>
            <w:tcW w:w="894" w:type="dxa"/>
          </w:tcPr>
          <w:p>
            <w:pPr>
              <w:pStyle w:val="TableParagraph"/>
              <w:spacing w:before="7"/>
              <w:jc w:val="left"/>
              <w:rPr>
                <w:b/>
                <w:sz w:val="20"/>
              </w:rPr>
            </w:pPr>
          </w:p>
          <w:p>
            <w:pPr>
              <w:pStyle w:val="TableParagraph"/>
              <w:spacing w:before="1"/>
              <w:ind w:left="126" w:right="116"/>
              <w:rPr>
                <w:sz w:val="24"/>
              </w:rPr>
            </w:pPr>
            <w:r>
              <w:rPr>
                <w:sz w:val="24"/>
              </w:rPr>
              <w:t>mg/L</w:t>
            </w:r>
          </w:p>
        </w:tc>
        <w:tc>
          <w:tcPr>
            <w:tcW w:w="1248" w:type="dxa"/>
          </w:tcPr>
          <w:p>
            <w:pPr>
              <w:pStyle w:val="TableParagraph"/>
              <w:spacing w:before="7"/>
              <w:jc w:val="left"/>
              <w:rPr>
                <w:b/>
                <w:sz w:val="20"/>
              </w:rPr>
            </w:pPr>
          </w:p>
          <w:p>
            <w:pPr>
              <w:pStyle w:val="TableParagraph"/>
              <w:spacing w:before="1"/>
              <w:ind w:left="69" w:right="60"/>
              <w:rPr>
                <w:sz w:val="24"/>
              </w:rPr>
            </w:pPr>
            <w:r>
              <w:rPr>
                <w:sz w:val="24"/>
              </w:rPr>
              <w:t>0.123</w:t>
            </w:r>
          </w:p>
        </w:tc>
        <w:tc>
          <w:tcPr>
            <w:tcW w:w="1690" w:type="dxa"/>
          </w:tcPr>
          <w:p>
            <w:pPr>
              <w:pStyle w:val="TableParagraph"/>
              <w:spacing w:before="98"/>
              <w:ind w:left="324" w:right="61" w:hanging="233"/>
              <w:jc w:val="left"/>
              <w:rPr>
                <w:sz w:val="24"/>
              </w:rPr>
            </w:pPr>
            <w:r>
              <w:rPr>
                <w:sz w:val="24"/>
              </w:rPr>
              <w:t>Instantaneous Maximum</w:t>
            </w:r>
          </w:p>
        </w:tc>
      </w:tr>
      <w:tr>
        <w:trPr>
          <w:trHeight w:val="747" w:hRule="atLeast"/>
        </w:trPr>
        <w:tc>
          <w:tcPr>
            <w:tcW w:w="3026" w:type="dxa"/>
          </w:tcPr>
          <w:p>
            <w:pPr>
              <w:pStyle w:val="TableParagraph"/>
              <w:spacing w:before="97"/>
              <w:ind w:left="150" w:right="124" w:firstLine="133"/>
              <w:jc w:val="left"/>
              <w:rPr>
                <w:sz w:val="24"/>
              </w:rPr>
            </w:pPr>
            <w:r>
              <w:rPr>
                <w:sz w:val="24"/>
              </w:rPr>
              <w:t>Dominguez Channel or Torrance Lateral Channel</w:t>
            </w:r>
          </w:p>
        </w:tc>
        <w:tc>
          <w:tcPr>
            <w:tcW w:w="2492" w:type="dxa"/>
          </w:tcPr>
          <w:p>
            <w:pPr>
              <w:pStyle w:val="TableParagraph"/>
              <w:spacing w:before="97"/>
              <w:ind w:left="572" w:right="542" w:firstLine="114"/>
              <w:jc w:val="left"/>
              <w:rPr>
                <w:sz w:val="24"/>
              </w:rPr>
            </w:pPr>
            <w:r>
              <w:rPr>
                <w:sz w:val="24"/>
              </w:rPr>
              <w:t>Zinc, Total Recoverable</w:t>
            </w:r>
          </w:p>
        </w:tc>
        <w:tc>
          <w:tcPr>
            <w:tcW w:w="894" w:type="dxa"/>
          </w:tcPr>
          <w:p>
            <w:pPr>
              <w:pStyle w:val="TableParagraph"/>
              <w:spacing w:before="6"/>
              <w:jc w:val="left"/>
              <w:rPr>
                <w:b/>
                <w:sz w:val="20"/>
              </w:rPr>
            </w:pPr>
          </w:p>
          <w:p>
            <w:pPr>
              <w:pStyle w:val="TableParagraph"/>
              <w:ind w:left="126" w:right="116"/>
              <w:rPr>
                <w:sz w:val="24"/>
              </w:rPr>
            </w:pPr>
            <w:r>
              <w:rPr>
                <w:sz w:val="24"/>
              </w:rPr>
              <w:t>mg/L</w:t>
            </w:r>
          </w:p>
        </w:tc>
        <w:tc>
          <w:tcPr>
            <w:tcW w:w="1248" w:type="dxa"/>
          </w:tcPr>
          <w:p>
            <w:pPr>
              <w:pStyle w:val="TableParagraph"/>
              <w:spacing w:before="6"/>
              <w:jc w:val="left"/>
              <w:rPr>
                <w:b/>
                <w:sz w:val="20"/>
              </w:rPr>
            </w:pPr>
          </w:p>
          <w:p>
            <w:pPr>
              <w:pStyle w:val="TableParagraph"/>
              <w:ind w:left="69" w:right="60"/>
              <w:rPr>
                <w:sz w:val="24"/>
              </w:rPr>
            </w:pPr>
            <w:r>
              <w:rPr>
                <w:sz w:val="24"/>
              </w:rPr>
              <w:t>0.899</w:t>
            </w:r>
          </w:p>
        </w:tc>
        <w:tc>
          <w:tcPr>
            <w:tcW w:w="1690" w:type="dxa"/>
          </w:tcPr>
          <w:p>
            <w:pPr>
              <w:pStyle w:val="TableParagraph"/>
              <w:spacing w:before="97"/>
              <w:ind w:left="324" w:right="61" w:hanging="233"/>
              <w:jc w:val="left"/>
              <w:rPr>
                <w:sz w:val="24"/>
              </w:rPr>
            </w:pPr>
            <w:r>
              <w:rPr>
                <w:sz w:val="24"/>
              </w:rPr>
              <w:t>Instantaneous Maximum</w:t>
            </w:r>
          </w:p>
        </w:tc>
      </w:tr>
      <w:tr>
        <w:trPr>
          <w:trHeight w:val="748" w:hRule="atLeast"/>
        </w:trPr>
        <w:tc>
          <w:tcPr>
            <w:tcW w:w="3026" w:type="dxa"/>
          </w:tcPr>
          <w:p>
            <w:pPr>
              <w:pStyle w:val="TableParagraph"/>
              <w:spacing w:before="98"/>
              <w:ind w:left="150" w:right="124" w:firstLine="133"/>
              <w:jc w:val="left"/>
              <w:rPr>
                <w:sz w:val="24"/>
              </w:rPr>
            </w:pPr>
            <w:r>
              <w:rPr>
                <w:sz w:val="24"/>
              </w:rPr>
              <w:t>Dominguez Channel or Torrance Lateral Channel</w:t>
            </w:r>
          </w:p>
        </w:tc>
        <w:tc>
          <w:tcPr>
            <w:tcW w:w="2492" w:type="dxa"/>
          </w:tcPr>
          <w:p>
            <w:pPr>
              <w:pStyle w:val="TableParagraph"/>
              <w:spacing w:before="7"/>
              <w:jc w:val="left"/>
              <w:rPr>
                <w:b/>
                <w:sz w:val="20"/>
              </w:rPr>
            </w:pPr>
          </w:p>
          <w:p>
            <w:pPr>
              <w:pStyle w:val="TableParagraph"/>
              <w:spacing w:before="1"/>
              <w:ind w:left="498" w:right="487"/>
              <w:rPr>
                <w:sz w:val="24"/>
              </w:rPr>
            </w:pPr>
            <w:r>
              <w:rPr>
                <w:sz w:val="24"/>
              </w:rPr>
              <w:t>Toxicity</w:t>
            </w:r>
          </w:p>
        </w:tc>
        <w:tc>
          <w:tcPr>
            <w:tcW w:w="894" w:type="dxa"/>
          </w:tcPr>
          <w:p>
            <w:pPr>
              <w:pStyle w:val="TableParagraph"/>
              <w:spacing w:before="7"/>
              <w:jc w:val="left"/>
              <w:rPr>
                <w:b/>
                <w:sz w:val="20"/>
              </w:rPr>
            </w:pPr>
          </w:p>
          <w:p>
            <w:pPr>
              <w:pStyle w:val="TableParagraph"/>
              <w:spacing w:before="1"/>
              <w:ind w:left="127" w:right="113"/>
              <w:rPr>
                <w:sz w:val="24"/>
              </w:rPr>
            </w:pPr>
            <w:r>
              <w:rPr>
                <w:sz w:val="24"/>
              </w:rPr>
              <w:t>TUc</w:t>
            </w:r>
          </w:p>
        </w:tc>
        <w:tc>
          <w:tcPr>
            <w:tcW w:w="1248" w:type="dxa"/>
          </w:tcPr>
          <w:p>
            <w:pPr>
              <w:pStyle w:val="TableParagraph"/>
              <w:spacing w:before="233"/>
              <w:ind w:left="69" w:right="56"/>
              <w:rPr>
                <w:sz w:val="16"/>
              </w:rPr>
            </w:pPr>
            <w:r>
              <w:rPr>
                <w:sz w:val="24"/>
              </w:rPr>
              <w:t>2.0</w:t>
            </w:r>
            <w:r>
              <w:rPr>
                <w:position w:val="8"/>
                <w:sz w:val="16"/>
              </w:rPr>
              <w:t>3</w:t>
            </w:r>
          </w:p>
        </w:tc>
        <w:tc>
          <w:tcPr>
            <w:tcW w:w="1690" w:type="dxa"/>
          </w:tcPr>
          <w:p>
            <w:pPr>
              <w:pStyle w:val="TableParagraph"/>
              <w:spacing w:before="98"/>
              <w:ind w:left="324" w:right="61" w:hanging="233"/>
              <w:jc w:val="left"/>
              <w:rPr>
                <w:sz w:val="24"/>
              </w:rPr>
            </w:pPr>
            <w:r>
              <w:rPr>
                <w:sz w:val="24"/>
              </w:rPr>
              <w:t>Instantaneous Maximum</w:t>
            </w:r>
          </w:p>
        </w:tc>
      </w:tr>
      <w:tr>
        <w:trPr>
          <w:trHeight w:val="748" w:hRule="atLeast"/>
        </w:trPr>
        <w:tc>
          <w:tcPr>
            <w:tcW w:w="3026" w:type="dxa"/>
          </w:tcPr>
          <w:p>
            <w:pPr>
              <w:pStyle w:val="TableParagraph"/>
              <w:spacing w:before="7"/>
              <w:jc w:val="left"/>
              <w:rPr>
                <w:b/>
                <w:sz w:val="20"/>
              </w:rPr>
            </w:pPr>
          </w:p>
          <w:p>
            <w:pPr>
              <w:pStyle w:val="TableParagraph"/>
              <w:spacing w:before="1"/>
              <w:ind w:left="364" w:right="356"/>
              <w:rPr>
                <w:sz w:val="24"/>
              </w:rPr>
            </w:pPr>
            <w:r>
              <w:rPr>
                <w:sz w:val="24"/>
              </w:rPr>
              <w:t>Dominguez Channel</w:t>
            </w:r>
          </w:p>
        </w:tc>
        <w:tc>
          <w:tcPr>
            <w:tcW w:w="2492" w:type="dxa"/>
          </w:tcPr>
          <w:p>
            <w:pPr>
              <w:pStyle w:val="TableParagraph"/>
              <w:spacing w:before="7"/>
              <w:jc w:val="left"/>
              <w:rPr>
                <w:b/>
                <w:sz w:val="20"/>
              </w:rPr>
            </w:pPr>
          </w:p>
          <w:p>
            <w:pPr>
              <w:pStyle w:val="TableParagraph"/>
              <w:spacing w:before="1"/>
              <w:ind w:left="892"/>
              <w:jc w:val="left"/>
              <w:rPr>
                <w:sz w:val="24"/>
              </w:rPr>
            </w:pPr>
            <w:r>
              <w:rPr>
                <w:sz w:val="24"/>
              </w:rPr>
              <w:t>E. Coli</w:t>
            </w:r>
          </w:p>
        </w:tc>
        <w:tc>
          <w:tcPr>
            <w:tcW w:w="894" w:type="dxa"/>
          </w:tcPr>
          <w:p>
            <w:pPr>
              <w:pStyle w:val="TableParagraph"/>
              <w:spacing w:before="98"/>
              <w:ind w:left="81" w:right="49" w:firstLine="174"/>
              <w:jc w:val="left"/>
              <w:rPr>
                <w:sz w:val="24"/>
              </w:rPr>
            </w:pPr>
            <w:r>
              <w:rPr>
                <w:sz w:val="24"/>
              </w:rPr>
              <w:t>cfu/ 100mL</w:t>
            </w:r>
          </w:p>
        </w:tc>
        <w:tc>
          <w:tcPr>
            <w:tcW w:w="1248" w:type="dxa"/>
          </w:tcPr>
          <w:p>
            <w:pPr>
              <w:pStyle w:val="TableParagraph"/>
              <w:spacing w:before="7"/>
              <w:jc w:val="left"/>
              <w:rPr>
                <w:b/>
                <w:sz w:val="20"/>
              </w:rPr>
            </w:pPr>
          </w:p>
          <w:p>
            <w:pPr>
              <w:pStyle w:val="TableParagraph"/>
              <w:spacing w:before="1"/>
              <w:ind w:left="69" w:right="59"/>
              <w:rPr>
                <w:sz w:val="24"/>
              </w:rPr>
            </w:pPr>
            <w:r>
              <w:rPr>
                <w:sz w:val="24"/>
              </w:rPr>
              <w:t>320</w:t>
            </w:r>
          </w:p>
        </w:tc>
        <w:tc>
          <w:tcPr>
            <w:tcW w:w="1690" w:type="dxa"/>
          </w:tcPr>
          <w:p>
            <w:pPr>
              <w:pStyle w:val="TableParagraph"/>
              <w:spacing w:before="233"/>
              <w:ind w:left="235" w:right="228"/>
              <w:rPr>
                <w:sz w:val="16"/>
              </w:rPr>
            </w:pPr>
            <w:r>
              <w:rPr>
                <w:sz w:val="24"/>
              </w:rPr>
              <w:t>STV</w:t>
            </w:r>
            <w:r>
              <w:rPr>
                <w:position w:val="8"/>
                <w:sz w:val="16"/>
              </w:rPr>
              <w:t>2</w:t>
            </w:r>
          </w:p>
        </w:tc>
      </w:tr>
      <w:tr>
        <w:trPr>
          <w:trHeight w:val="747" w:hRule="atLeast"/>
        </w:trPr>
        <w:tc>
          <w:tcPr>
            <w:tcW w:w="3026" w:type="dxa"/>
          </w:tcPr>
          <w:p>
            <w:pPr>
              <w:pStyle w:val="TableParagraph"/>
              <w:spacing w:before="97"/>
              <w:ind w:left="1105" w:right="397" w:hanging="681"/>
              <w:jc w:val="left"/>
              <w:rPr>
                <w:sz w:val="24"/>
              </w:rPr>
            </w:pPr>
            <w:r>
              <w:rPr>
                <w:sz w:val="24"/>
              </w:rPr>
              <w:t>Dominguez Channel Estuary</w:t>
            </w:r>
          </w:p>
        </w:tc>
        <w:tc>
          <w:tcPr>
            <w:tcW w:w="2492" w:type="dxa"/>
          </w:tcPr>
          <w:p>
            <w:pPr>
              <w:pStyle w:val="TableParagraph"/>
              <w:spacing w:before="6"/>
              <w:jc w:val="left"/>
              <w:rPr>
                <w:b/>
                <w:sz w:val="20"/>
              </w:rPr>
            </w:pPr>
          </w:p>
          <w:p>
            <w:pPr>
              <w:pStyle w:val="TableParagraph"/>
              <w:ind w:left="498" w:right="488"/>
              <w:rPr>
                <w:sz w:val="24"/>
              </w:rPr>
            </w:pPr>
            <w:r>
              <w:rPr>
                <w:sz w:val="24"/>
              </w:rPr>
              <w:t>Enterococcus</w:t>
            </w:r>
          </w:p>
        </w:tc>
        <w:tc>
          <w:tcPr>
            <w:tcW w:w="894" w:type="dxa"/>
          </w:tcPr>
          <w:p>
            <w:pPr>
              <w:pStyle w:val="TableParagraph"/>
              <w:spacing w:before="97"/>
              <w:ind w:left="81" w:right="49" w:firstLine="174"/>
              <w:jc w:val="left"/>
              <w:rPr>
                <w:sz w:val="24"/>
              </w:rPr>
            </w:pPr>
            <w:r>
              <w:rPr>
                <w:sz w:val="24"/>
              </w:rPr>
              <w:t>cfu/ 100mL</w:t>
            </w:r>
          </w:p>
        </w:tc>
        <w:tc>
          <w:tcPr>
            <w:tcW w:w="1248" w:type="dxa"/>
          </w:tcPr>
          <w:p>
            <w:pPr>
              <w:pStyle w:val="TableParagraph"/>
              <w:spacing w:before="6"/>
              <w:jc w:val="left"/>
              <w:rPr>
                <w:b/>
                <w:sz w:val="20"/>
              </w:rPr>
            </w:pPr>
          </w:p>
          <w:p>
            <w:pPr>
              <w:pStyle w:val="TableParagraph"/>
              <w:ind w:left="69" w:right="59"/>
              <w:rPr>
                <w:sz w:val="24"/>
              </w:rPr>
            </w:pPr>
            <w:r>
              <w:rPr>
                <w:sz w:val="24"/>
              </w:rPr>
              <w:t>110</w:t>
            </w:r>
          </w:p>
        </w:tc>
        <w:tc>
          <w:tcPr>
            <w:tcW w:w="1690" w:type="dxa"/>
          </w:tcPr>
          <w:p>
            <w:pPr>
              <w:pStyle w:val="TableParagraph"/>
              <w:spacing w:before="231"/>
              <w:ind w:left="235" w:right="228"/>
              <w:rPr>
                <w:sz w:val="16"/>
              </w:rPr>
            </w:pPr>
            <w:r>
              <w:rPr>
                <w:sz w:val="24"/>
              </w:rPr>
              <w:t>STV</w:t>
            </w:r>
            <w:r>
              <w:rPr>
                <w:position w:val="8"/>
                <w:sz w:val="16"/>
              </w:rPr>
              <w:t>2</w:t>
            </w:r>
          </w:p>
        </w:tc>
      </w:tr>
      <w:tr>
        <w:trPr>
          <w:trHeight w:val="748" w:hRule="atLeast"/>
        </w:trPr>
        <w:tc>
          <w:tcPr>
            <w:tcW w:w="3026" w:type="dxa"/>
          </w:tcPr>
          <w:p>
            <w:pPr>
              <w:pStyle w:val="TableParagraph"/>
              <w:spacing w:before="7"/>
              <w:jc w:val="left"/>
              <w:rPr>
                <w:b/>
                <w:sz w:val="20"/>
              </w:rPr>
            </w:pPr>
          </w:p>
          <w:p>
            <w:pPr>
              <w:pStyle w:val="TableParagraph"/>
              <w:spacing w:before="1"/>
              <w:ind w:left="364" w:right="356"/>
              <w:rPr>
                <w:sz w:val="24"/>
              </w:rPr>
            </w:pPr>
            <w:r>
              <w:rPr>
                <w:sz w:val="24"/>
              </w:rPr>
              <w:t>Los Cerritos Channel</w:t>
            </w:r>
          </w:p>
        </w:tc>
        <w:tc>
          <w:tcPr>
            <w:tcW w:w="2492" w:type="dxa"/>
          </w:tcPr>
          <w:p>
            <w:pPr>
              <w:pStyle w:val="TableParagraph"/>
              <w:spacing w:before="98"/>
              <w:ind w:left="919" w:right="376" w:hanging="514"/>
              <w:jc w:val="left"/>
              <w:rPr>
                <w:sz w:val="24"/>
              </w:rPr>
            </w:pPr>
            <w:r>
              <w:rPr>
                <w:sz w:val="24"/>
              </w:rPr>
              <w:t>Ammonia, Total (as N)</w:t>
            </w:r>
          </w:p>
        </w:tc>
        <w:tc>
          <w:tcPr>
            <w:tcW w:w="894" w:type="dxa"/>
          </w:tcPr>
          <w:p>
            <w:pPr>
              <w:pStyle w:val="TableParagraph"/>
              <w:spacing w:before="7"/>
              <w:jc w:val="left"/>
              <w:rPr>
                <w:b/>
                <w:sz w:val="20"/>
              </w:rPr>
            </w:pPr>
          </w:p>
          <w:p>
            <w:pPr>
              <w:pStyle w:val="TableParagraph"/>
              <w:spacing w:before="1"/>
              <w:ind w:left="126" w:right="116"/>
              <w:rPr>
                <w:sz w:val="24"/>
              </w:rPr>
            </w:pPr>
            <w:r>
              <w:rPr>
                <w:sz w:val="24"/>
              </w:rPr>
              <w:t>mg/L</w:t>
            </w:r>
          </w:p>
        </w:tc>
        <w:tc>
          <w:tcPr>
            <w:tcW w:w="1248" w:type="dxa"/>
          </w:tcPr>
          <w:p>
            <w:pPr>
              <w:pStyle w:val="TableParagraph"/>
              <w:spacing w:before="7"/>
              <w:jc w:val="left"/>
              <w:rPr>
                <w:b/>
                <w:sz w:val="20"/>
              </w:rPr>
            </w:pPr>
          </w:p>
          <w:p>
            <w:pPr>
              <w:pStyle w:val="TableParagraph"/>
              <w:spacing w:before="1"/>
              <w:ind w:left="69" w:right="60"/>
              <w:rPr>
                <w:sz w:val="24"/>
              </w:rPr>
            </w:pPr>
            <w:r>
              <w:rPr>
                <w:sz w:val="24"/>
              </w:rPr>
              <w:t>0.233</w:t>
            </w:r>
          </w:p>
        </w:tc>
        <w:tc>
          <w:tcPr>
            <w:tcW w:w="1690" w:type="dxa"/>
          </w:tcPr>
          <w:p>
            <w:pPr>
              <w:pStyle w:val="TableParagraph"/>
              <w:spacing w:before="98"/>
              <w:ind w:left="324" w:right="61" w:hanging="233"/>
              <w:jc w:val="left"/>
              <w:rPr>
                <w:sz w:val="24"/>
              </w:rPr>
            </w:pPr>
            <w:r>
              <w:rPr>
                <w:sz w:val="24"/>
              </w:rPr>
              <w:t>Instantaneous Maximum</w:t>
            </w:r>
          </w:p>
        </w:tc>
      </w:tr>
      <w:tr>
        <w:trPr>
          <w:trHeight w:val="747" w:hRule="atLeast"/>
        </w:trPr>
        <w:tc>
          <w:tcPr>
            <w:tcW w:w="3026" w:type="dxa"/>
          </w:tcPr>
          <w:p>
            <w:pPr>
              <w:pStyle w:val="TableParagraph"/>
              <w:spacing w:before="7"/>
              <w:jc w:val="left"/>
              <w:rPr>
                <w:b/>
                <w:sz w:val="20"/>
              </w:rPr>
            </w:pPr>
          </w:p>
          <w:p>
            <w:pPr>
              <w:pStyle w:val="TableParagraph"/>
              <w:spacing w:before="1"/>
              <w:ind w:left="363" w:right="356"/>
              <w:rPr>
                <w:sz w:val="24"/>
              </w:rPr>
            </w:pPr>
            <w:r>
              <w:rPr>
                <w:sz w:val="24"/>
              </w:rPr>
              <w:t>Los Cerritos Channel</w:t>
            </w:r>
          </w:p>
        </w:tc>
        <w:tc>
          <w:tcPr>
            <w:tcW w:w="2492" w:type="dxa"/>
          </w:tcPr>
          <w:p>
            <w:pPr>
              <w:pStyle w:val="TableParagraph"/>
              <w:spacing w:before="7"/>
              <w:jc w:val="left"/>
              <w:rPr>
                <w:b/>
                <w:sz w:val="20"/>
              </w:rPr>
            </w:pPr>
          </w:p>
          <w:p>
            <w:pPr>
              <w:pStyle w:val="TableParagraph"/>
              <w:spacing w:before="1"/>
              <w:ind w:left="497" w:right="488"/>
              <w:rPr>
                <w:sz w:val="24"/>
              </w:rPr>
            </w:pPr>
            <w:r>
              <w:rPr>
                <w:sz w:val="24"/>
              </w:rPr>
              <w:t>pH</w:t>
            </w:r>
          </w:p>
        </w:tc>
        <w:tc>
          <w:tcPr>
            <w:tcW w:w="894" w:type="dxa"/>
          </w:tcPr>
          <w:p>
            <w:pPr>
              <w:pStyle w:val="TableParagraph"/>
              <w:spacing w:before="7"/>
              <w:jc w:val="left"/>
              <w:rPr>
                <w:b/>
                <w:sz w:val="20"/>
              </w:rPr>
            </w:pPr>
          </w:p>
          <w:p>
            <w:pPr>
              <w:pStyle w:val="TableParagraph"/>
              <w:spacing w:before="1"/>
              <w:ind w:left="10"/>
              <w:rPr>
                <w:sz w:val="24"/>
              </w:rPr>
            </w:pPr>
            <w:r>
              <w:rPr>
                <w:sz w:val="24"/>
              </w:rPr>
              <w:t>-</w:t>
            </w:r>
          </w:p>
        </w:tc>
        <w:tc>
          <w:tcPr>
            <w:tcW w:w="1248" w:type="dxa"/>
          </w:tcPr>
          <w:p>
            <w:pPr>
              <w:pStyle w:val="TableParagraph"/>
              <w:spacing w:before="7"/>
              <w:jc w:val="left"/>
              <w:rPr>
                <w:b/>
                <w:sz w:val="20"/>
              </w:rPr>
            </w:pPr>
          </w:p>
          <w:p>
            <w:pPr>
              <w:pStyle w:val="TableParagraph"/>
              <w:spacing w:before="1"/>
              <w:ind w:left="69" w:right="59"/>
              <w:rPr>
                <w:sz w:val="24"/>
              </w:rPr>
            </w:pPr>
            <w:r>
              <w:rPr>
                <w:sz w:val="24"/>
              </w:rPr>
              <w:t>6/8.5</w:t>
            </w:r>
          </w:p>
        </w:tc>
        <w:tc>
          <w:tcPr>
            <w:tcW w:w="1690" w:type="dxa"/>
          </w:tcPr>
          <w:p>
            <w:pPr>
              <w:pStyle w:val="TableParagraph"/>
              <w:spacing w:before="98"/>
              <w:ind w:left="324" w:right="295"/>
              <w:jc w:val="left"/>
              <w:rPr>
                <w:sz w:val="24"/>
              </w:rPr>
            </w:pPr>
            <w:r>
              <w:rPr>
                <w:sz w:val="24"/>
              </w:rPr>
              <w:t>Minimum/ Maximum</w:t>
            </w:r>
          </w:p>
        </w:tc>
      </w:tr>
      <w:tr>
        <w:trPr>
          <w:trHeight w:val="748" w:hRule="atLeast"/>
        </w:trPr>
        <w:tc>
          <w:tcPr>
            <w:tcW w:w="3026" w:type="dxa"/>
          </w:tcPr>
          <w:p>
            <w:pPr>
              <w:pStyle w:val="TableParagraph"/>
              <w:spacing w:before="7"/>
              <w:jc w:val="left"/>
              <w:rPr>
                <w:b/>
                <w:sz w:val="20"/>
              </w:rPr>
            </w:pPr>
          </w:p>
          <w:p>
            <w:pPr>
              <w:pStyle w:val="TableParagraph"/>
              <w:spacing w:before="1"/>
              <w:ind w:left="364" w:right="356"/>
              <w:rPr>
                <w:sz w:val="24"/>
              </w:rPr>
            </w:pPr>
            <w:r>
              <w:rPr>
                <w:sz w:val="24"/>
              </w:rPr>
              <w:t>Los Cerritos Channel</w:t>
            </w:r>
          </w:p>
        </w:tc>
        <w:tc>
          <w:tcPr>
            <w:tcW w:w="2492" w:type="dxa"/>
          </w:tcPr>
          <w:p>
            <w:pPr>
              <w:pStyle w:val="TableParagraph"/>
              <w:spacing w:before="98"/>
              <w:ind w:left="739" w:right="295" w:hanging="413"/>
              <w:jc w:val="left"/>
              <w:rPr>
                <w:sz w:val="24"/>
              </w:rPr>
            </w:pPr>
            <w:r>
              <w:rPr>
                <w:sz w:val="24"/>
              </w:rPr>
              <w:t>Bis (2-ethylhexyl) Phthalate</w:t>
            </w:r>
          </w:p>
        </w:tc>
        <w:tc>
          <w:tcPr>
            <w:tcW w:w="894" w:type="dxa"/>
          </w:tcPr>
          <w:p>
            <w:pPr>
              <w:pStyle w:val="TableParagraph"/>
              <w:spacing w:before="7"/>
              <w:jc w:val="left"/>
              <w:rPr>
                <w:b/>
                <w:sz w:val="20"/>
              </w:rPr>
            </w:pPr>
          </w:p>
          <w:p>
            <w:pPr>
              <w:pStyle w:val="TableParagraph"/>
              <w:spacing w:before="1"/>
              <w:ind w:left="126" w:right="116"/>
              <w:rPr>
                <w:sz w:val="24"/>
              </w:rPr>
            </w:pPr>
            <w:r>
              <w:rPr>
                <w:sz w:val="24"/>
              </w:rPr>
              <w:t>mg/L</w:t>
            </w:r>
          </w:p>
        </w:tc>
        <w:tc>
          <w:tcPr>
            <w:tcW w:w="1248" w:type="dxa"/>
          </w:tcPr>
          <w:p>
            <w:pPr>
              <w:pStyle w:val="TableParagraph"/>
              <w:spacing w:before="7"/>
              <w:jc w:val="left"/>
              <w:rPr>
                <w:b/>
                <w:sz w:val="20"/>
              </w:rPr>
            </w:pPr>
          </w:p>
          <w:p>
            <w:pPr>
              <w:pStyle w:val="TableParagraph"/>
              <w:spacing w:before="1"/>
              <w:ind w:left="69" w:right="59"/>
              <w:rPr>
                <w:sz w:val="24"/>
              </w:rPr>
            </w:pPr>
            <w:r>
              <w:rPr>
                <w:sz w:val="24"/>
              </w:rPr>
              <w:t>0.00059</w:t>
            </w:r>
          </w:p>
        </w:tc>
        <w:tc>
          <w:tcPr>
            <w:tcW w:w="1690" w:type="dxa"/>
          </w:tcPr>
          <w:p>
            <w:pPr>
              <w:pStyle w:val="TableParagraph"/>
              <w:spacing w:before="98"/>
              <w:ind w:left="324" w:right="61" w:hanging="233"/>
              <w:jc w:val="left"/>
              <w:rPr>
                <w:sz w:val="24"/>
              </w:rPr>
            </w:pPr>
            <w:r>
              <w:rPr>
                <w:sz w:val="24"/>
              </w:rPr>
              <w:t>Instantaneous Maximum</w:t>
            </w:r>
          </w:p>
        </w:tc>
      </w:tr>
      <w:tr>
        <w:trPr>
          <w:trHeight w:val="748" w:hRule="atLeast"/>
        </w:trPr>
        <w:tc>
          <w:tcPr>
            <w:tcW w:w="3026" w:type="dxa"/>
          </w:tcPr>
          <w:p>
            <w:pPr>
              <w:pStyle w:val="TableParagraph"/>
              <w:spacing w:before="7"/>
              <w:jc w:val="left"/>
              <w:rPr>
                <w:b/>
                <w:sz w:val="20"/>
              </w:rPr>
            </w:pPr>
          </w:p>
          <w:p>
            <w:pPr>
              <w:pStyle w:val="TableParagraph"/>
              <w:spacing w:before="1"/>
              <w:ind w:left="364" w:right="356"/>
              <w:rPr>
                <w:sz w:val="24"/>
              </w:rPr>
            </w:pPr>
            <w:r>
              <w:rPr>
                <w:sz w:val="24"/>
              </w:rPr>
              <w:t>Los Cerritos Channel</w:t>
            </w:r>
          </w:p>
        </w:tc>
        <w:tc>
          <w:tcPr>
            <w:tcW w:w="2492" w:type="dxa"/>
          </w:tcPr>
          <w:p>
            <w:pPr>
              <w:pStyle w:val="TableParagraph"/>
              <w:spacing w:before="7"/>
              <w:jc w:val="left"/>
              <w:rPr>
                <w:b/>
                <w:sz w:val="20"/>
              </w:rPr>
            </w:pPr>
          </w:p>
          <w:p>
            <w:pPr>
              <w:pStyle w:val="TableParagraph"/>
              <w:spacing w:before="1"/>
              <w:ind w:left="496" w:right="488"/>
              <w:rPr>
                <w:sz w:val="24"/>
              </w:rPr>
            </w:pPr>
            <w:r>
              <w:rPr>
                <w:sz w:val="24"/>
              </w:rPr>
              <w:t>Chlordane</w:t>
            </w:r>
          </w:p>
        </w:tc>
        <w:tc>
          <w:tcPr>
            <w:tcW w:w="894" w:type="dxa"/>
          </w:tcPr>
          <w:p>
            <w:pPr>
              <w:pStyle w:val="TableParagraph"/>
              <w:spacing w:before="7"/>
              <w:jc w:val="left"/>
              <w:rPr>
                <w:b/>
                <w:sz w:val="20"/>
              </w:rPr>
            </w:pPr>
          </w:p>
          <w:p>
            <w:pPr>
              <w:pStyle w:val="TableParagraph"/>
              <w:spacing w:before="1"/>
              <w:ind w:left="124" w:right="116"/>
              <w:rPr>
                <w:sz w:val="24"/>
              </w:rPr>
            </w:pPr>
            <w:r>
              <w:rPr>
                <w:sz w:val="24"/>
              </w:rPr>
              <w:t>µg/L</w:t>
            </w:r>
          </w:p>
        </w:tc>
        <w:tc>
          <w:tcPr>
            <w:tcW w:w="1248" w:type="dxa"/>
          </w:tcPr>
          <w:p>
            <w:pPr>
              <w:pStyle w:val="TableParagraph"/>
              <w:spacing w:before="7"/>
              <w:jc w:val="left"/>
              <w:rPr>
                <w:b/>
                <w:sz w:val="20"/>
              </w:rPr>
            </w:pPr>
          </w:p>
          <w:p>
            <w:pPr>
              <w:pStyle w:val="TableParagraph"/>
              <w:spacing w:before="1"/>
              <w:ind w:left="69" w:right="60"/>
              <w:rPr>
                <w:sz w:val="24"/>
              </w:rPr>
            </w:pPr>
            <w:r>
              <w:rPr>
                <w:sz w:val="24"/>
              </w:rPr>
              <w:t>0.00059</w:t>
            </w:r>
          </w:p>
        </w:tc>
        <w:tc>
          <w:tcPr>
            <w:tcW w:w="1690" w:type="dxa"/>
          </w:tcPr>
          <w:p>
            <w:pPr>
              <w:pStyle w:val="TableParagraph"/>
              <w:spacing w:before="98"/>
              <w:ind w:left="324" w:right="61" w:hanging="233"/>
              <w:jc w:val="left"/>
              <w:rPr>
                <w:sz w:val="24"/>
              </w:rPr>
            </w:pPr>
            <w:r>
              <w:rPr>
                <w:sz w:val="24"/>
              </w:rPr>
              <w:t>Instantaneous Maximum</w:t>
            </w:r>
          </w:p>
        </w:tc>
      </w:tr>
      <w:tr>
        <w:trPr>
          <w:trHeight w:val="747" w:hRule="atLeast"/>
        </w:trPr>
        <w:tc>
          <w:tcPr>
            <w:tcW w:w="3026" w:type="dxa"/>
          </w:tcPr>
          <w:p>
            <w:pPr>
              <w:pStyle w:val="TableParagraph"/>
              <w:spacing w:line="237" w:lineRule="auto" w:before="99"/>
              <w:ind w:left="220" w:right="192" w:firstLine="164"/>
              <w:jc w:val="left"/>
              <w:rPr>
                <w:sz w:val="16"/>
              </w:rPr>
            </w:pPr>
            <w:r>
              <w:rPr>
                <w:sz w:val="24"/>
              </w:rPr>
              <w:t>Los Cerritos Channel (above Atherton Street)</w:t>
            </w:r>
            <w:r>
              <w:rPr>
                <w:position w:val="8"/>
                <w:sz w:val="16"/>
              </w:rPr>
              <w:t>1</w:t>
            </w:r>
          </w:p>
        </w:tc>
        <w:tc>
          <w:tcPr>
            <w:tcW w:w="2492" w:type="dxa"/>
          </w:tcPr>
          <w:p>
            <w:pPr>
              <w:pStyle w:val="TableParagraph"/>
              <w:spacing w:before="6"/>
              <w:jc w:val="left"/>
              <w:rPr>
                <w:b/>
                <w:sz w:val="20"/>
              </w:rPr>
            </w:pPr>
          </w:p>
          <w:p>
            <w:pPr>
              <w:pStyle w:val="TableParagraph"/>
              <w:ind w:left="892"/>
              <w:jc w:val="left"/>
              <w:rPr>
                <w:sz w:val="24"/>
              </w:rPr>
            </w:pPr>
            <w:r>
              <w:rPr>
                <w:sz w:val="24"/>
              </w:rPr>
              <w:t>E. Coli</w:t>
            </w:r>
          </w:p>
        </w:tc>
        <w:tc>
          <w:tcPr>
            <w:tcW w:w="894" w:type="dxa"/>
          </w:tcPr>
          <w:p>
            <w:pPr>
              <w:pStyle w:val="TableParagraph"/>
              <w:spacing w:before="97"/>
              <w:ind w:left="81" w:right="49" w:firstLine="174"/>
              <w:jc w:val="left"/>
              <w:rPr>
                <w:sz w:val="24"/>
              </w:rPr>
            </w:pPr>
            <w:r>
              <w:rPr>
                <w:sz w:val="24"/>
              </w:rPr>
              <w:t>cfu/ 100mL</w:t>
            </w:r>
          </w:p>
        </w:tc>
        <w:tc>
          <w:tcPr>
            <w:tcW w:w="1248" w:type="dxa"/>
          </w:tcPr>
          <w:p>
            <w:pPr>
              <w:pStyle w:val="TableParagraph"/>
              <w:spacing w:before="6"/>
              <w:jc w:val="left"/>
              <w:rPr>
                <w:b/>
                <w:sz w:val="20"/>
              </w:rPr>
            </w:pPr>
          </w:p>
          <w:p>
            <w:pPr>
              <w:pStyle w:val="TableParagraph"/>
              <w:ind w:left="69" w:right="59"/>
              <w:rPr>
                <w:sz w:val="24"/>
              </w:rPr>
            </w:pPr>
            <w:r>
              <w:rPr>
                <w:sz w:val="24"/>
              </w:rPr>
              <w:t>320</w:t>
            </w:r>
          </w:p>
        </w:tc>
        <w:tc>
          <w:tcPr>
            <w:tcW w:w="1690" w:type="dxa"/>
          </w:tcPr>
          <w:p>
            <w:pPr>
              <w:pStyle w:val="TableParagraph"/>
              <w:spacing w:before="231"/>
              <w:ind w:left="235" w:right="228"/>
              <w:rPr>
                <w:sz w:val="16"/>
              </w:rPr>
            </w:pPr>
            <w:r>
              <w:rPr>
                <w:sz w:val="24"/>
              </w:rPr>
              <w:t>STV</w:t>
            </w:r>
            <w:r>
              <w:rPr>
                <w:position w:val="8"/>
                <w:sz w:val="16"/>
              </w:rPr>
              <w:t>2</w:t>
            </w:r>
          </w:p>
        </w:tc>
      </w:tr>
      <w:tr>
        <w:trPr>
          <w:trHeight w:val="748" w:hRule="atLeast"/>
        </w:trPr>
        <w:tc>
          <w:tcPr>
            <w:tcW w:w="3026" w:type="dxa"/>
          </w:tcPr>
          <w:p>
            <w:pPr>
              <w:pStyle w:val="TableParagraph"/>
              <w:spacing w:line="235" w:lineRule="auto" w:before="103"/>
              <w:ind w:left="233" w:right="206" w:firstLine="151"/>
              <w:jc w:val="left"/>
              <w:rPr>
                <w:sz w:val="16"/>
              </w:rPr>
            </w:pPr>
            <w:r>
              <w:rPr>
                <w:sz w:val="24"/>
              </w:rPr>
              <w:t>Los Cerritos Channel (below Atherton Street)</w:t>
            </w:r>
            <w:r>
              <w:rPr>
                <w:position w:val="8"/>
                <w:sz w:val="16"/>
              </w:rPr>
              <w:t>1</w:t>
            </w:r>
          </w:p>
        </w:tc>
        <w:tc>
          <w:tcPr>
            <w:tcW w:w="2492" w:type="dxa"/>
          </w:tcPr>
          <w:p>
            <w:pPr>
              <w:pStyle w:val="TableParagraph"/>
              <w:spacing w:before="7"/>
              <w:jc w:val="left"/>
              <w:rPr>
                <w:b/>
                <w:sz w:val="20"/>
              </w:rPr>
            </w:pPr>
          </w:p>
          <w:p>
            <w:pPr>
              <w:pStyle w:val="TableParagraph"/>
              <w:spacing w:before="1"/>
              <w:ind w:left="498" w:right="488"/>
              <w:rPr>
                <w:sz w:val="24"/>
              </w:rPr>
            </w:pPr>
            <w:r>
              <w:rPr>
                <w:sz w:val="24"/>
              </w:rPr>
              <w:t>Enterococcus</w:t>
            </w:r>
          </w:p>
        </w:tc>
        <w:tc>
          <w:tcPr>
            <w:tcW w:w="894" w:type="dxa"/>
          </w:tcPr>
          <w:p>
            <w:pPr>
              <w:pStyle w:val="TableParagraph"/>
              <w:spacing w:before="98"/>
              <w:ind w:left="81" w:right="49" w:firstLine="174"/>
              <w:jc w:val="left"/>
              <w:rPr>
                <w:sz w:val="24"/>
              </w:rPr>
            </w:pPr>
            <w:r>
              <w:rPr>
                <w:sz w:val="24"/>
              </w:rPr>
              <w:t>cfu/ 100mL</w:t>
            </w:r>
          </w:p>
        </w:tc>
        <w:tc>
          <w:tcPr>
            <w:tcW w:w="1248" w:type="dxa"/>
          </w:tcPr>
          <w:p>
            <w:pPr>
              <w:pStyle w:val="TableParagraph"/>
              <w:spacing w:before="7"/>
              <w:jc w:val="left"/>
              <w:rPr>
                <w:b/>
                <w:sz w:val="20"/>
              </w:rPr>
            </w:pPr>
          </w:p>
          <w:p>
            <w:pPr>
              <w:pStyle w:val="TableParagraph"/>
              <w:spacing w:before="1"/>
              <w:ind w:left="69" w:right="59"/>
              <w:rPr>
                <w:sz w:val="24"/>
              </w:rPr>
            </w:pPr>
            <w:r>
              <w:rPr>
                <w:sz w:val="24"/>
              </w:rPr>
              <w:t>110</w:t>
            </w:r>
          </w:p>
        </w:tc>
        <w:tc>
          <w:tcPr>
            <w:tcW w:w="1690" w:type="dxa"/>
          </w:tcPr>
          <w:p>
            <w:pPr>
              <w:pStyle w:val="TableParagraph"/>
              <w:spacing w:before="233"/>
              <w:ind w:left="235" w:right="228"/>
              <w:rPr>
                <w:sz w:val="16"/>
              </w:rPr>
            </w:pPr>
            <w:r>
              <w:rPr>
                <w:sz w:val="24"/>
              </w:rPr>
              <w:t>STV</w:t>
            </w:r>
            <w:r>
              <w:rPr>
                <w:position w:val="8"/>
                <w:sz w:val="16"/>
              </w:rPr>
              <w:t>2</w:t>
            </w:r>
          </w:p>
        </w:tc>
      </w:tr>
    </w:tbl>
    <w:p>
      <w:pPr>
        <w:spacing w:after="0"/>
        <w:rPr>
          <w:sz w:val="16"/>
        </w:rPr>
        <w:sectPr>
          <w:pgSz w:w="12240" w:h="15840"/>
          <w:pgMar w:header="728" w:footer="788" w:top="1540" w:bottom="980" w:left="1160" w:right="420"/>
        </w:sectPr>
      </w:pPr>
    </w:p>
    <w:p>
      <w:pPr>
        <w:pStyle w:val="BodyText"/>
        <w:spacing w:before="11"/>
        <w:rPr>
          <w:b/>
          <w:sz w:val="23"/>
        </w:rPr>
      </w:pPr>
    </w:p>
    <w:tbl>
      <w:tblPr>
        <w:tblW w:w="0" w:type="auto"/>
        <w:jc w:val="left"/>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26"/>
        <w:gridCol w:w="2492"/>
        <w:gridCol w:w="894"/>
        <w:gridCol w:w="1248"/>
        <w:gridCol w:w="1690"/>
      </w:tblGrid>
      <w:tr>
        <w:trPr>
          <w:trHeight w:val="1559" w:hRule="atLeast"/>
        </w:trPr>
        <w:tc>
          <w:tcPr>
            <w:tcW w:w="3026" w:type="dxa"/>
            <w:shd w:val="clear" w:color="auto" w:fill="D9D9D9"/>
          </w:tcPr>
          <w:p>
            <w:pPr>
              <w:pStyle w:val="TableParagraph"/>
              <w:jc w:val="left"/>
              <w:rPr>
                <w:b/>
                <w:sz w:val="26"/>
              </w:rPr>
            </w:pPr>
          </w:p>
          <w:p>
            <w:pPr>
              <w:pStyle w:val="TableParagraph"/>
              <w:spacing w:before="11"/>
              <w:jc w:val="left"/>
              <w:rPr>
                <w:b/>
                <w:sz w:val="29"/>
              </w:rPr>
            </w:pPr>
          </w:p>
          <w:p>
            <w:pPr>
              <w:pStyle w:val="TableParagraph"/>
              <w:ind w:left="364" w:right="355"/>
              <w:rPr>
                <w:b/>
                <w:sz w:val="24"/>
              </w:rPr>
            </w:pPr>
            <w:r>
              <w:rPr>
                <w:b/>
                <w:sz w:val="24"/>
              </w:rPr>
              <w:t>Waterbody</w:t>
            </w:r>
          </w:p>
        </w:tc>
        <w:tc>
          <w:tcPr>
            <w:tcW w:w="2492" w:type="dxa"/>
            <w:shd w:val="clear" w:color="auto" w:fill="D9D9D9"/>
          </w:tcPr>
          <w:p>
            <w:pPr>
              <w:pStyle w:val="TableParagraph"/>
              <w:jc w:val="left"/>
              <w:rPr>
                <w:b/>
                <w:sz w:val="26"/>
              </w:rPr>
            </w:pPr>
          </w:p>
          <w:p>
            <w:pPr>
              <w:pStyle w:val="TableParagraph"/>
              <w:spacing w:before="11"/>
              <w:jc w:val="left"/>
              <w:rPr>
                <w:b/>
                <w:sz w:val="29"/>
              </w:rPr>
            </w:pPr>
          </w:p>
          <w:p>
            <w:pPr>
              <w:pStyle w:val="TableParagraph"/>
              <w:ind w:left="497" w:right="488"/>
              <w:rPr>
                <w:b/>
                <w:sz w:val="24"/>
              </w:rPr>
            </w:pPr>
            <w:r>
              <w:rPr>
                <w:b/>
                <w:sz w:val="24"/>
              </w:rPr>
              <w:t>Parameter</w:t>
            </w:r>
          </w:p>
        </w:tc>
        <w:tc>
          <w:tcPr>
            <w:tcW w:w="894" w:type="dxa"/>
            <w:shd w:val="clear" w:color="auto" w:fill="D9D9D9"/>
          </w:tcPr>
          <w:p>
            <w:pPr>
              <w:pStyle w:val="TableParagraph"/>
              <w:jc w:val="left"/>
              <w:rPr>
                <w:b/>
                <w:sz w:val="26"/>
              </w:rPr>
            </w:pPr>
          </w:p>
          <w:p>
            <w:pPr>
              <w:pStyle w:val="TableParagraph"/>
              <w:spacing w:before="11"/>
              <w:jc w:val="left"/>
              <w:rPr>
                <w:b/>
                <w:sz w:val="29"/>
              </w:rPr>
            </w:pPr>
          </w:p>
          <w:p>
            <w:pPr>
              <w:pStyle w:val="TableParagraph"/>
              <w:ind w:left="127" w:right="116"/>
              <w:rPr>
                <w:b/>
                <w:sz w:val="24"/>
              </w:rPr>
            </w:pPr>
            <w:r>
              <w:rPr>
                <w:b/>
                <w:sz w:val="24"/>
              </w:rPr>
              <w:t>Units</w:t>
            </w:r>
          </w:p>
        </w:tc>
        <w:tc>
          <w:tcPr>
            <w:tcW w:w="1248" w:type="dxa"/>
            <w:shd w:val="clear" w:color="auto" w:fill="D9D9D9"/>
          </w:tcPr>
          <w:p>
            <w:pPr>
              <w:pStyle w:val="TableParagraph"/>
              <w:jc w:val="left"/>
              <w:rPr>
                <w:b/>
                <w:sz w:val="26"/>
              </w:rPr>
            </w:pPr>
          </w:p>
          <w:p>
            <w:pPr>
              <w:pStyle w:val="TableParagraph"/>
              <w:spacing w:before="11"/>
              <w:jc w:val="left"/>
              <w:rPr>
                <w:b/>
                <w:sz w:val="29"/>
              </w:rPr>
            </w:pPr>
          </w:p>
          <w:p>
            <w:pPr>
              <w:pStyle w:val="TableParagraph"/>
              <w:ind w:left="69" w:right="59"/>
              <w:rPr>
                <w:b/>
                <w:sz w:val="24"/>
              </w:rPr>
            </w:pPr>
            <w:r>
              <w:rPr>
                <w:b/>
                <w:sz w:val="24"/>
              </w:rPr>
              <w:t>Value</w:t>
            </w:r>
          </w:p>
        </w:tc>
        <w:tc>
          <w:tcPr>
            <w:tcW w:w="1690" w:type="dxa"/>
            <w:shd w:val="clear" w:color="auto" w:fill="D9D9D9"/>
          </w:tcPr>
          <w:p>
            <w:pPr>
              <w:pStyle w:val="TableParagraph"/>
              <w:jc w:val="left"/>
              <w:rPr>
                <w:b/>
                <w:sz w:val="26"/>
              </w:rPr>
            </w:pPr>
          </w:p>
          <w:p>
            <w:pPr>
              <w:pStyle w:val="TableParagraph"/>
              <w:spacing w:before="205"/>
              <w:ind w:left="472" w:right="228" w:hanging="214"/>
              <w:jc w:val="left"/>
              <w:rPr>
                <w:b/>
                <w:sz w:val="24"/>
              </w:rPr>
            </w:pPr>
            <w:r>
              <w:rPr>
                <w:b/>
                <w:sz w:val="24"/>
              </w:rPr>
              <w:t>Averaging Period</w:t>
            </w:r>
          </w:p>
        </w:tc>
      </w:tr>
      <w:tr>
        <w:trPr>
          <w:trHeight w:val="748" w:hRule="atLeast"/>
        </w:trPr>
        <w:tc>
          <w:tcPr>
            <w:tcW w:w="3026" w:type="dxa"/>
          </w:tcPr>
          <w:p>
            <w:pPr>
              <w:pStyle w:val="TableParagraph"/>
              <w:spacing w:line="235" w:lineRule="auto" w:before="103"/>
              <w:ind w:left="1060" w:right="357" w:hanging="676"/>
              <w:jc w:val="left"/>
              <w:rPr>
                <w:sz w:val="16"/>
              </w:rPr>
            </w:pPr>
            <w:r>
              <w:rPr>
                <w:sz w:val="24"/>
              </w:rPr>
              <w:t>Los Cerritos Channel Estuary</w:t>
            </w:r>
            <w:r>
              <w:rPr>
                <w:position w:val="8"/>
                <w:sz w:val="16"/>
              </w:rPr>
              <w:t>1</w:t>
            </w:r>
          </w:p>
        </w:tc>
        <w:tc>
          <w:tcPr>
            <w:tcW w:w="2492" w:type="dxa"/>
          </w:tcPr>
          <w:p>
            <w:pPr>
              <w:pStyle w:val="TableParagraph"/>
              <w:spacing w:before="7"/>
              <w:jc w:val="left"/>
              <w:rPr>
                <w:b/>
                <w:sz w:val="20"/>
              </w:rPr>
            </w:pPr>
          </w:p>
          <w:p>
            <w:pPr>
              <w:pStyle w:val="TableParagraph"/>
              <w:spacing w:before="1"/>
              <w:ind w:left="498" w:right="488"/>
              <w:rPr>
                <w:sz w:val="24"/>
              </w:rPr>
            </w:pPr>
            <w:r>
              <w:rPr>
                <w:sz w:val="24"/>
              </w:rPr>
              <w:t>Enterococcus</w:t>
            </w:r>
          </w:p>
        </w:tc>
        <w:tc>
          <w:tcPr>
            <w:tcW w:w="894" w:type="dxa"/>
          </w:tcPr>
          <w:p>
            <w:pPr>
              <w:pStyle w:val="TableParagraph"/>
              <w:spacing w:before="98"/>
              <w:ind w:left="81" w:right="49" w:firstLine="174"/>
              <w:jc w:val="left"/>
              <w:rPr>
                <w:sz w:val="24"/>
              </w:rPr>
            </w:pPr>
            <w:r>
              <w:rPr>
                <w:sz w:val="24"/>
              </w:rPr>
              <w:t>cfu/ 100mL</w:t>
            </w:r>
          </w:p>
        </w:tc>
        <w:tc>
          <w:tcPr>
            <w:tcW w:w="1248" w:type="dxa"/>
          </w:tcPr>
          <w:p>
            <w:pPr>
              <w:pStyle w:val="TableParagraph"/>
              <w:spacing w:before="7"/>
              <w:jc w:val="left"/>
              <w:rPr>
                <w:b/>
                <w:sz w:val="20"/>
              </w:rPr>
            </w:pPr>
          </w:p>
          <w:p>
            <w:pPr>
              <w:pStyle w:val="TableParagraph"/>
              <w:spacing w:before="1"/>
              <w:ind w:left="69" w:right="59"/>
              <w:rPr>
                <w:sz w:val="24"/>
              </w:rPr>
            </w:pPr>
            <w:r>
              <w:rPr>
                <w:sz w:val="24"/>
              </w:rPr>
              <w:t>110</w:t>
            </w:r>
          </w:p>
        </w:tc>
        <w:tc>
          <w:tcPr>
            <w:tcW w:w="1690" w:type="dxa"/>
          </w:tcPr>
          <w:p>
            <w:pPr>
              <w:pStyle w:val="TableParagraph"/>
              <w:spacing w:before="233"/>
              <w:ind w:left="235" w:right="228"/>
              <w:rPr>
                <w:sz w:val="16"/>
              </w:rPr>
            </w:pPr>
            <w:r>
              <w:rPr>
                <w:sz w:val="24"/>
              </w:rPr>
              <w:t>STV</w:t>
            </w:r>
            <w:r>
              <w:rPr>
                <w:position w:val="8"/>
                <w:sz w:val="16"/>
              </w:rPr>
              <w:t>2</w:t>
            </w:r>
          </w:p>
        </w:tc>
      </w:tr>
      <w:tr>
        <w:trPr>
          <w:trHeight w:val="747" w:hRule="atLeast"/>
        </w:trPr>
        <w:tc>
          <w:tcPr>
            <w:tcW w:w="3026" w:type="dxa"/>
          </w:tcPr>
          <w:p>
            <w:pPr>
              <w:pStyle w:val="TableParagraph"/>
              <w:spacing w:before="7"/>
              <w:jc w:val="left"/>
              <w:rPr>
                <w:b/>
                <w:sz w:val="20"/>
              </w:rPr>
            </w:pPr>
          </w:p>
          <w:p>
            <w:pPr>
              <w:pStyle w:val="TableParagraph"/>
              <w:spacing w:before="1"/>
              <w:ind w:left="363" w:right="356"/>
              <w:rPr>
                <w:sz w:val="24"/>
              </w:rPr>
            </w:pPr>
            <w:r>
              <w:rPr>
                <w:sz w:val="24"/>
              </w:rPr>
              <w:t>Machado Lake</w:t>
            </w:r>
          </w:p>
        </w:tc>
        <w:tc>
          <w:tcPr>
            <w:tcW w:w="2492" w:type="dxa"/>
          </w:tcPr>
          <w:p>
            <w:pPr>
              <w:pStyle w:val="TableParagraph"/>
              <w:spacing w:before="98"/>
              <w:ind w:left="919" w:right="428" w:hanging="460"/>
              <w:jc w:val="left"/>
              <w:rPr>
                <w:sz w:val="24"/>
              </w:rPr>
            </w:pPr>
            <w:r>
              <w:rPr>
                <w:sz w:val="24"/>
              </w:rPr>
              <w:t>Nitrogen, Total (as N)</w:t>
            </w:r>
          </w:p>
        </w:tc>
        <w:tc>
          <w:tcPr>
            <w:tcW w:w="894" w:type="dxa"/>
          </w:tcPr>
          <w:p>
            <w:pPr>
              <w:pStyle w:val="TableParagraph"/>
              <w:spacing w:before="7"/>
              <w:jc w:val="left"/>
              <w:rPr>
                <w:b/>
                <w:sz w:val="20"/>
              </w:rPr>
            </w:pPr>
          </w:p>
          <w:p>
            <w:pPr>
              <w:pStyle w:val="TableParagraph"/>
              <w:spacing w:before="1"/>
              <w:ind w:left="126" w:right="116"/>
              <w:rPr>
                <w:sz w:val="24"/>
              </w:rPr>
            </w:pPr>
            <w:r>
              <w:rPr>
                <w:sz w:val="24"/>
              </w:rPr>
              <w:t>mg/L</w:t>
            </w:r>
          </w:p>
        </w:tc>
        <w:tc>
          <w:tcPr>
            <w:tcW w:w="1248" w:type="dxa"/>
          </w:tcPr>
          <w:p>
            <w:pPr>
              <w:pStyle w:val="TableParagraph"/>
              <w:spacing w:before="7"/>
              <w:jc w:val="left"/>
              <w:rPr>
                <w:b/>
                <w:sz w:val="20"/>
              </w:rPr>
            </w:pPr>
          </w:p>
          <w:p>
            <w:pPr>
              <w:pStyle w:val="TableParagraph"/>
              <w:spacing w:before="1"/>
              <w:ind w:left="69" w:right="60"/>
              <w:rPr>
                <w:sz w:val="24"/>
              </w:rPr>
            </w:pPr>
            <w:r>
              <w:rPr>
                <w:sz w:val="24"/>
              </w:rPr>
              <w:t>1.0</w:t>
            </w:r>
          </w:p>
        </w:tc>
        <w:tc>
          <w:tcPr>
            <w:tcW w:w="1690" w:type="dxa"/>
          </w:tcPr>
          <w:p>
            <w:pPr>
              <w:pStyle w:val="TableParagraph"/>
              <w:spacing w:before="7"/>
              <w:jc w:val="left"/>
              <w:rPr>
                <w:b/>
                <w:sz w:val="20"/>
              </w:rPr>
            </w:pPr>
          </w:p>
          <w:p>
            <w:pPr>
              <w:pStyle w:val="TableParagraph"/>
              <w:spacing w:before="1"/>
              <w:ind w:left="237" w:right="228"/>
              <w:rPr>
                <w:sz w:val="24"/>
              </w:rPr>
            </w:pPr>
            <w:r>
              <w:rPr>
                <w:sz w:val="24"/>
              </w:rPr>
              <w:t>Monthly</w:t>
            </w:r>
          </w:p>
        </w:tc>
      </w:tr>
      <w:tr>
        <w:trPr>
          <w:trHeight w:val="748" w:hRule="atLeast"/>
        </w:trPr>
        <w:tc>
          <w:tcPr>
            <w:tcW w:w="3026" w:type="dxa"/>
          </w:tcPr>
          <w:p>
            <w:pPr>
              <w:pStyle w:val="TableParagraph"/>
              <w:spacing w:before="7"/>
              <w:jc w:val="left"/>
              <w:rPr>
                <w:b/>
                <w:sz w:val="20"/>
              </w:rPr>
            </w:pPr>
          </w:p>
          <w:p>
            <w:pPr>
              <w:pStyle w:val="TableParagraph"/>
              <w:spacing w:before="1"/>
              <w:ind w:left="363" w:right="356"/>
              <w:rPr>
                <w:sz w:val="24"/>
              </w:rPr>
            </w:pPr>
            <w:r>
              <w:rPr>
                <w:sz w:val="24"/>
              </w:rPr>
              <w:t>Machado Lake</w:t>
            </w:r>
          </w:p>
        </w:tc>
        <w:tc>
          <w:tcPr>
            <w:tcW w:w="2492" w:type="dxa"/>
          </w:tcPr>
          <w:p>
            <w:pPr>
              <w:pStyle w:val="TableParagraph"/>
              <w:spacing w:before="98"/>
              <w:ind w:left="926" w:right="242" w:hanging="654"/>
              <w:jc w:val="left"/>
              <w:rPr>
                <w:sz w:val="24"/>
              </w:rPr>
            </w:pPr>
            <w:r>
              <w:rPr>
                <w:sz w:val="24"/>
              </w:rPr>
              <w:t>Phosphorus, Total (as P)</w:t>
            </w:r>
          </w:p>
        </w:tc>
        <w:tc>
          <w:tcPr>
            <w:tcW w:w="894" w:type="dxa"/>
          </w:tcPr>
          <w:p>
            <w:pPr>
              <w:pStyle w:val="TableParagraph"/>
              <w:spacing w:before="7"/>
              <w:jc w:val="left"/>
              <w:rPr>
                <w:b/>
                <w:sz w:val="20"/>
              </w:rPr>
            </w:pPr>
          </w:p>
          <w:p>
            <w:pPr>
              <w:pStyle w:val="TableParagraph"/>
              <w:spacing w:before="1"/>
              <w:ind w:left="126" w:right="116"/>
              <w:rPr>
                <w:sz w:val="24"/>
              </w:rPr>
            </w:pPr>
            <w:r>
              <w:rPr>
                <w:sz w:val="24"/>
              </w:rPr>
              <w:t>mg/L</w:t>
            </w:r>
          </w:p>
        </w:tc>
        <w:tc>
          <w:tcPr>
            <w:tcW w:w="1248" w:type="dxa"/>
          </w:tcPr>
          <w:p>
            <w:pPr>
              <w:pStyle w:val="TableParagraph"/>
              <w:spacing w:before="7"/>
              <w:jc w:val="left"/>
              <w:rPr>
                <w:b/>
                <w:sz w:val="20"/>
              </w:rPr>
            </w:pPr>
          </w:p>
          <w:p>
            <w:pPr>
              <w:pStyle w:val="TableParagraph"/>
              <w:spacing w:before="1"/>
              <w:ind w:left="69" w:right="60"/>
              <w:rPr>
                <w:sz w:val="24"/>
              </w:rPr>
            </w:pPr>
            <w:r>
              <w:rPr>
                <w:sz w:val="24"/>
              </w:rPr>
              <w:t>0.1</w:t>
            </w:r>
          </w:p>
        </w:tc>
        <w:tc>
          <w:tcPr>
            <w:tcW w:w="1690" w:type="dxa"/>
          </w:tcPr>
          <w:p>
            <w:pPr>
              <w:pStyle w:val="TableParagraph"/>
              <w:spacing w:before="7"/>
              <w:jc w:val="left"/>
              <w:rPr>
                <w:b/>
                <w:sz w:val="20"/>
              </w:rPr>
            </w:pPr>
          </w:p>
          <w:p>
            <w:pPr>
              <w:pStyle w:val="TableParagraph"/>
              <w:spacing w:before="1"/>
              <w:ind w:left="237" w:right="228"/>
              <w:rPr>
                <w:sz w:val="24"/>
              </w:rPr>
            </w:pPr>
            <w:r>
              <w:rPr>
                <w:sz w:val="24"/>
              </w:rPr>
              <w:t>Monthly</w:t>
            </w:r>
          </w:p>
        </w:tc>
      </w:tr>
      <w:tr>
        <w:trPr>
          <w:trHeight w:val="1024" w:hRule="atLeast"/>
        </w:trPr>
        <w:tc>
          <w:tcPr>
            <w:tcW w:w="3026" w:type="dxa"/>
          </w:tcPr>
          <w:p>
            <w:pPr>
              <w:pStyle w:val="TableParagraph"/>
              <w:spacing w:before="7"/>
              <w:jc w:val="left"/>
              <w:rPr>
                <w:b/>
                <w:sz w:val="32"/>
              </w:rPr>
            </w:pPr>
          </w:p>
          <w:p>
            <w:pPr>
              <w:pStyle w:val="TableParagraph"/>
              <w:spacing w:before="1"/>
              <w:ind w:left="361" w:right="356"/>
              <w:rPr>
                <w:sz w:val="24"/>
              </w:rPr>
            </w:pPr>
            <w:r>
              <w:rPr>
                <w:sz w:val="24"/>
              </w:rPr>
              <w:t>Machado Lake</w:t>
            </w:r>
          </w:p>
        </w:tc>
        <w:tc>
          <w:tcPr>
            <w:tcW w:w="2492" w:type="dxa"/>
          </w:tcPr>
          <w:p>
            <w:pPr>
              <w:pStyle w:val="TableParagraph"/>
              <w:spacing w:before="7"/>
              <w:jc w:val="left"/>
              <w:rPr>
                <w:b/>
                <w:sz w:val="32"/>
              </w:rPr>
            </w:pPr>
          </w:p>
          <w:p>
            <w:pPr>
              <w:pStyle w:val="TableParagraph"/>
              <w:spacing w:before="1"/>
              <w:ind w:left="494" w:right="488"/>
              <w:rPr>
                <w:sz w:val="24"/>
              </w:rPr>
            </w:pPr>
            <w:r>
              <w:rPr>
                <w:sz w:val="24"/>
              </w:rPr>
              <w:t>Total PCBs</w:t>
            </w:r>
          </w:p>
        </w:tc>
        <w:tc>
          <w:tcPr>
            <w:tcW w:w="894" w:type="dxa"/>
          </w:tcPr>
          <w:p>
            <w:pPr>
              <w:pStyle w:val="TableParagraph"/>
              <w:spacing w:before="98"/>
              <w:ind w:left="101" w:right="87" w:hanging="1"/>
              <w:rPr>
                <w:sz w:val="24"/>
              </w:rPr>
            </w:pPr>
            <w:r>
              <w:rPr>
                <w:sz w:val="24"/>
              </w:rPr>
              <w:t>μg/kg dry weight</w:t>
            </w:r>
          </w:p>
        </w:tc>
        <w:tc>
          <w:tcPr>
            <w:tcW w:w="1248" w:type="dxa"/>
          </w:tcPr>
          <w:p>
            <w:pPr>
              <w:pStyle w:val="TableParagraph"/>
              <w:spacing w:before="7"/>
              <w:jc w:val="left"/>
              <w:rPr>
                <w:b/>
                <w:sz w:val="32"/>
              </w:rPr>
            </w:pPr>
          </w:p>
          <w:p>
            <w:pPr>
              <w:pStyle w:val="TableParagraph"/>
              <w:spacing w:before="1"/>
              <w:ind w:left="69" w:right="57"/>
              <w:rPr>
                <w:sz w:val="24"/>
              </w:rPr>
            </w:pPr>
            <w:r>
              <w:rPr>
                <w:sz w:val="24"/>
              </w:rPr>
              <w:t>59.8</w:t>
            </w:r>
          </w:p>
        </w:tc>
        <w:tc>
          <w:tcPr>
            <w:tcW w:w="1690" w:type="dxa"/>
          </w:tcPr>
          <w:p>
            <w:pPr>
              <w:pStyle w:val="TableParagraph"/>
              <w:spacing w:before="7"/>
              <w:jc w:val="left"/>
              <w:rPr>
                <w:b/>
                <w:sz w:val="32"/>
              </w:rPr>
            </w:pPr>
          </w:p>
          <w:p>
            <w:pPr>
              <w:pStyle w:val="TableParagraph"/>
              <w:spacing w:before="1"/>
              <w:ind w:left="238" w:right="228"/>
              <w:rPr>
                <w:sz w:val="24"/>
              </w:rPr>
            </w:pPr>
            <w:r>
              <w:rPr>
                <w:sz w:val="24"/>
              </w:rPr>
              <w:t>Three-year</w:t>
            </w:r>
          </w:p>
        </w:tc>
      </w:tr>
      <w:tr>
        <w:trPr>
          <w:trHeight w:val="1023" w:hRule="atLeast"/>
        </w:trPr>
        <w:tc>
          <w:tcPr>
            <w:tcW w:w="3026" w:type="dxa"/>
          </w:tcPr>
          <w:p>
            <w:pPr>
              <w:pStyle w:val="TableParagraph"/>
              <w:spacing w:before="6"/>
              <w:jc w:val="left"/>
              <w:rPr>
                <w:b/>
                <w:sz w:val="32"/>
              </w:rPr>
            </w:pPr>
          </w:p>
          <w:p>
            <w:pPr>
              <w:pStyle w:val="TableParagraph"/>
              <w:ind w:left="361" w:right="356"/>
              <w:rPr>
                <w:sz w:val="24"/>
              </w:rPr>
            </w:pPr>
            <w:r>
              <w:rPr>
                <w:sz w:val="24"/>
              </w:rPr>
              <w:t>Machado Lake</w:t>
            </w:r>
          </w:p>
        </w:tc>
        <w:tc>
          <w:tcPr>
            <w:tcW w:w="2492" w:type="dxa"/>
          </w:tcPr>
          <w:p>
            <w:pPr>
              <w:pStyle w:val="TableParagraph"/>
              <w:spacing w:before="6"/>
              <w:jc w:val="left"/>
              <w:rPr>
                <w:b/>
                <w:sz w:val="32"/>
              </w:rPr>
            </w:pPr>
          </w:p>
          <w:p>
            <w:pPr>
              <w:pStyle w:val="TableParagraph"/>
              <w:ind w:left="494" w:right="488"/>
              <w:rPr>
                <w:sz w:val="24"/>
              </w:rPr>
            </w:pPr>
            <w:r>
              <w:rPr>
                <w:sz w:val="24"/>
              </w:rPr>
              <w:t>Total DDT</w:t>
            </w:r>
          </w:p>
        </w:tc>
        <w:tc>
          <w:tcPr>
            <w:tcW w:w="894" w:type="dxa"/>
          </w:tcPr>
          <w:p>
            <w:pPr>
              <w:pStyle w:val="TableParagraph"/>
              <w:spacing w:before="97"/>
              <w:ind w:left="101" w:right="87" w:hanging="1"/>
              <w:rPr>
                <w:sz w:val="24"/>
              </w:rPr>
            </w:pPr>
            <w:r>
              <w:rPr>
                <w:sz w:val="24"/>
              </w:rPr>
              <w:t>μg/kg dry weight</w:t>
            </w:r>
          </w:p>
        </w:tc>
        <w:tc>
          <w:tcPr>
            <w:tcW w:w="1248" w:type="dxa"/>
          </w:tcPr>
          <w:p>
            <w:pPr>
              <w:pStyle w:val="TableParagraph"/>
              <w:spacing w:before="6"/>
              <w:jc w:val="left"/>
              <w:rPr>
                <w:b/>
                <w:sz w:val="32"/>
              </w:rPr>
            </w:pPr>
          </w:p>
          <w:p>
            <w:pPr>
              <w:pStyle w:val="TableParagraph"/>
              <w:ind w:left="69" w:right="57"/>
              <w:rPr>
                <w:sz w:val="24"/>
              </w:rPr>
            </w:pPr>
            <w:r>
              <w:rPr>
                <w:sz w:val="24"/>
              </w:rPr>
              <w:t>5.28</w:t>
            </w:r>
          </w:p>
        </w:tc>
        <w:tc>
          <w:tcPr>
            <w:tcW w:w="1690" w:type="dxa"/>
          </w:tcPr>
          <w:p>
            <w:pPr>
              <w:pStyle w:val="TableParagraph"/>
              <w:spacing w:before="6"/>
              <w:jc w:val="left"/>
              <w:rPr>
                <w:b/>
                <w:sz w:val="32"/>
              </w:rPr>
            </w:pPr>
          </w:p>
          <w:p>
            <w:pPr>
              <w:pStyle w:val="TableParagraph"/>
              <w:ind w:left="238" w:right="228"/>
              <w:rPr>
                <w:sz w:val="24"/>
              </w:rPr>
            </w:pPr>
            <w:r>
              <w:rPr>
                <w:sz w:val="24"/>
              </w:rPr>
              <w:t>Three-year</w:t>
            </w:r>
          </w:p>
        </w:tc>
      </w:tr>
      <w:tr>
        <w:trPr>
          <w:trHeight w:val="1024" w:hRule="atLeast"/>
        </w:trPr>
        <w:tc>
          <w:tcPr>
            <w:tcW w:w="3026" w:type="dxa"/>
          </w:tcPr>
          <w:p>
            <w:pPr>
              <w:pStyle w:val="TableParagraph"/>
              <w:spacing w:before="7"/>
              <w:jc w:val="left"/>
              <w:rPr>
                <w:b/>
                <w:sz w:val="32"/>
              </w:rPr>
            </w:pPr>
          </w:p>
          <w:p>
            <w:pPr>
              <w:pStyle w:val="TableParagraph"/>
              <w:spacing w:before="1"/>
              <w:ind w:left="363" w:right="356"/>
              <w:rPr>
                <w:sz w:val="24"/>
              </w:rPr>
            </w:pPr>
            <w:r>
              <w:rPr>
                <w:sz w:val="24"/>
              </w:rPr>
              <w:t>Machado Lake</w:t>
            </w:r>
          </w:p>
        </w:tc>
        <w:tc>
          <w:tcPr>
            <w:tcW w:w="2492" w:type="dxa"/>
          </w:tcPr>
          <w:p>
            <w:pPr>
              <w:pStyle w:val="TableParagraph"/>
              <w:spacing w:before="7"/>
              <w:jc w:val="left"/>
              <w:rPr>
                <w:b/>
                <w:sz w:val="32"/>
              </w:rPr>
            </w:pPr>
          </w:p>
          <w:p>
            <w:pPr>
              <w:pStyle w:val="TableParagraph"/>
              <w:spacing w:before="1"/>
              <w:ind w:left="498" w:right="488"/>
              <w:rPr>
                <w:sz w:val="24"/>
              </w:rPr>
            </w:pPr>
            <w:r>
              <w:rPr>
                <w:sz w:val="24"/>
              </w:rPr>
              <w:t>Chlordane</w:t>
            </w:r>
          </w:p>
        </w:tc>
        <w:tc>
          <w:tcPr>
            <w:tcW w:w="894" w:type="dxa"/>
          </w:tcPr>
          <w:p>
            <w:pPr>
              <w:pStyle w:val="TableParagraph"/>
              <w:spacing w:before="98"/>
              <w:ind w:left="101" w:right="87" w:hanging="1"/>
              <w:rPr>
                <w:sz w:val="24"/>
              </w:rPr>
            </w:pPr>
            <w:r>
              <w:rPr>
                <w:sz w:val="24"/>
              </w:rPr>
              <w:t>μg/kg dry weight</w:t>
            </w:r>
          </w:p>
        </w:tc>
        <w:tc>
          <w:tcPr>
            <w:tcW w:w="1248" w:type="dxa"/>
          </w:tcPr>
          <w:p>
            <w:pPr>
              <w:pStyle w:val="TableParagraph"/>
              <w:spacing w:before="7"/>
              <w:jc w:val="left"/>
              <w:rPr>
                <w:b/>
                <w:sz w:val="32"/>
              </w:rPr>
            </w:pPr>
          </w:p>
          <w:p>
            <w:pPr>
              <w:pStyle w:val="TableParagraph"/>
              <w:spacing w:before="1"/>
              <w:ind w:left="69" w:right="57"/>
              <w:rPr>
                <w:sz w:val="24"/>
              </w:rPr>
            </w:pPr>
            <w:r>
              <w:rPr>
                <w:sz w:val="24"/>
              </w:rPr>
              <w:t>3.24</w:t>
            </w:r>
          </w:p>
        </w:tc>
        <w:tc>
          <w:tcPr>
            <w:tcW w:w="1690" w:type="dxa"/>
          </w:tcPr>
          <w:p>
            <w:pPr>
              <w:pStyle w:val="TableParagraph"/>
              <w:spacing w:before="7"/>
              <w:jc w:val="left"/>
              <w:rPr>
                <w:b/>
                <w:sz w:val="32"/>
              </w:rPr>
            </w:pPr>
          </w:p>
          <w:p>
            <w:pPr>
              <w:pStyle w:val="TableParagraph"/>
              <w:spacing w:before="1"/>
              <w:ind w:left="238" w:right="228"/>
              <w:rPr>
                <w:sz w:val="24"/>
              </w:rPr>
            </w:pPr>
            <w:r>
              <w:rPr>
                <w:sz w:val="24"/>
              </w:rPr>
              <w:t>Three-year</w:t>
            </w:r>
          </w:p>
        </w:tc>
      </w:tr>
      <w:tr>
        <w:trPr>
          <w:trHeight w:val="1024" w:hRule="atLeast"/>
        </w:trPr>
        <w:tc>
          <w:tcPr>
            <w:tcW w:w="3026" w:type="dxa"/>
          </w:tcPr>
          <w:p>
            <w:pPr>
              <w:pStyle w:val="TableParagraph"/>
              <w:spacing w:before="7"/>
              <w:jc w:val="left"/>
              <w:rPr>
                <w:b/>
                <w:sz w:val="32"/>
              </w:rPr>
            </w:pPr>
          </w:p>
          <w:p>
            <w:pPr>
              <w:pStyle w:val="TableParagraph"/>
              <w:spacing w:before="1"/>
              <w:ind w:left="363" w:right="356"/>
              <w:rPr>
                <w:sz w:val="24"/>
              </w:rPr>
            </w:pPr>
            <w:r>
              <w:rPr>
                <w:sz w:val="24"/>
              </w:rPr>
              <w:t>Machado Lake</w:t>
            </w:r>
          </w:p>
        </w:tc>
        <w:tc>
          <w:tcPr>
            <w:tcW w:w="2492" w:type="dxa"/>
          </w:tcPr>
          <w:p>
            <w:pPr>
              <w:pStyle w:val="TableParagraph"/>
              <w:spacing w:before="7"/>
              <w:jc w:val="left"/>
              <w:rPr>
                <w:b/>
                <w:sz w:val="32"/>
              </w:rPr>
            </w:pPr>
          </w:p>
          <w:p>
            <w:pPr>
              <w:pStyle w:val="TableParagraph"/>
              <w:spacing w:before="1"/>
              <w:ind w:left="497" w:right="488"/>
              <w:rPr>
                <w:sz w:val="24"/>
              </w:rPr>
            </w:pPr>
            <w:r>
              <w:rPr>
                <w:sz w:val="24"/>
              </w:rPr>
              <w:t>Dieldrin</w:t>
            </w:r>
          </w:p>
        </w:tc>
        <w:tc>
          <w:tcPr>
            <w:tcW w:w="894" w:type="dxa"/>
          </w:tcPr>
          <w:p>
            <w:pPr>
              <w:pStyle w:val="TableParagraph"/>
              <w:spacing w:before="98"/>
              <w:ind w:left="101" w:right="87" w:hanging="1"/>
              <w:rPr>
                <w:sz w:val="24"/>
              </w:rPr>
            </w:pPr>
            <w:r>
              <w:rPr>
                <w:sz w:val="24"/>
              </w:rPr>
              <w:t>μg/kg dry weight</w:t>
            </w:r>
          </w:p>
        </w:tc>
        <w:tc>
          <w:tcPr>
            <w:tcW w:w="1248" w:type="dxa"/>
          </w:tcPr>
          <w:p>
            <w:pPr>
              <w:pStyle w:val="TableParagraph"/>
              <w:spacing w:before="7"/>
              <w:jc w:val="left"/>
              <w:rPr>
                <w:b/>
                <w:sz w:val="32"/>
              </w:rPr>
            </w:pPr>
          </w:p>
          <w:p>
            <w:pPr>
              <w:pStyle w:val="TableParagraph"/>
              <w:spacing w:before="1"/>
              <w:ind w:left="69" w:right="59"/>
              <w:rPr>
                <w:sz w:val="24"/>
              </w:rPr>
            </w:pPr>
            <w:r>
              <w:rPr>
                <w:sz w:val="24"/>
              </w:rPr>
              <w:t>1.9</w:t>
            </w:r>
          </w:p>
        </w:tc>
        <w:tc>
          <w:tcPr>
            <w:tcW w:w="1690" w:type="dxa"/>
          </w:tcPr>
          <w:p>
            <w:pPr>
              <w:pStyle w:val="TableParagraph"/>
              <w:spacing w:before="7"/>
              <w:jc w:val="left"/>
              <w:rPr>
                <w:b/>
                <w:sz w:val="32"/>
              </w:rPr>
            </w:pPr>
          </w:p>
          <w:p>
            <w:pPr>
              <w:pStyle w:val="TableParagraph"/>
              <w:spacing w:before="1"/>
              <w:ind w:left="238" w:right="228"/>
              <w:rPr>
                <w:sz w:val="24"/>
              </w:rPr>
            </w:pPr>
            <w:r>
              <w:rPr>
                <w:sz w:val="24"/>
              </w:rPr>
              <w:t>Three-year</w:t>
            </w:r>
          </w:p>
        </w:tc>
      </w:tr>
      <w:tr>
        <w:trPr>
          <w:trHeight w:val="1023" w:hRule="atLeast"/>
        </w:trPr>
        <w:tc>
          <w:tcPr>
            <w:tcW w:w="3026" w:type="dxa"/>
          </w:tcPr>
          <w:p>
            <w:pPr>
              <w:pStyle w:val="TableParagraph"/>
              <w:spacing w:before="6"/>
              <w:jc w:val="left"/>
              <w:rPr>
                <w:b/>
                <w:sz w:val="32"/>
              </w:rPr>
            </w:pPr>
          </w:p>
          <w:p>
            <w:pPr>
              <w:pStyle w:val="TableParagraph"/>
              <w:ind w:left="363" w:right="356"/>
              <w:rPr>
                <w:sz w:val="24"/>
              </w:rPr>
            </w:pPr>
            <w:r>
              <w:rPr>
                <w:sz w:val="24"/>
              </w:rPr>
              <w:t>Colorado Lagoon</w:t>
            </w:r>
          </w:p>
        </w:tc>
        <w:tc>
          <w:tcPr>
            <w:tcW w:w="2492" w:type="dxa"/>
          </w:tcPr>
          <w:p>
            <w:pPr>
              <w:pStyle w:val="TableParagraph"/>
              <w:spacing w:before="6"/>
              <w:jc w:val="left"/>
              <w:rPr>
                <w:b/>
                <w:sz w:val="32"/>
              </w:rPr>
            </w:pPr>
          </w:p>
          <w:p>
            <w:pPr>
              <w:pStyle w:val="TableParagraph"/>
              <w:ind w:left="498" w:right="488"/>
              <w:rPr>
                <w:sz w:val="24"/>
              </w:rPr>
            </w:pPr>
            <w:r>
              <w:rPr>
                <w:sz w:val="24"/>
              </w:rPr>
              <w:t>Chlordane</w:t>
            </w:r>
          </w:p>
        </w:tc>
        <w:tc>
          <w:tcPr>
            <w:tcW w:w="894" w:type="dxa"/>
          </w:tcPr>
          <w:p>
            <w:pPr>
              <w:pStyle w:val="TableParagraph"/>
              <w:spacing w:before="97"/>
              <w:ind w:left="101" w:right="87" w:hanging="1"/>
              <w:rPr>
                <w:sz w:val="24"/>
              </w:rPr>
            </w:pPr>
            <w:r>
              <w:rPr>
                <w:sz w:val="24"/>
              </w:rPr>
              <w:t>μg/kg dry weight</w:t>
            </w:r>
          </w:p>
        </w:tc>
        <w:tc>
          <w:tcPr>
            <w:tcW w:w="1248" w:type="dxa"/>
          </w:tcPr>
          <w:p>
            <w:pPr>
              <w:pStyle w:val="TableParagraph"/>
              <w:spacing w:before="6"/>
              <w:jc w:val="left"/>
              <w:rPr>
                <w:b/>
                <w:sz w:val="32"/>
              </w:rPr>
            </w:pPr>
          </w:p>
          <w:p>
            <w:pPr>
              <w:pStyle w:val="TableParagraph"/>
              <w:ind w:left="69" w:right="57"/>
              <w:rPr>
                <w:sz w:val="24"/>
              </w:rPr>
            </w:pPr>
            <w:r>
              <w:rPr>
                <w:sz w:val="24"/>
              </w:rPr>
              <w:t>0.50</w:t>
            </w:r>
          </w:p>
        </w:tc>
        <w:tc>
          <w:tcPr>
            <w:tcW w:w="1690" w:type="dxa"/>
          </w:tcPr>
          <w:p>
            <w:pPr>
              <w:pStyle w:val="TableParagraph"/>
              <w:spacing w:before="6"/>
              <w:jc w:val="left"/>
              <w:rPr>
                <w:b/>
                <w:sz w:val="32"/>
              </w:rPr>
            </w:pPr>
          </w:p>
          <w:p>
            <w:pPr>
              <w:pStyle w:val="TableParagraph"/>
              <w:ind w:left="238" w:right="228"/>
              <w:rPr>
                <w:sz w:val="24"/>
              </w:rPr>
            </w:pPr>
            <w:r>
              <w:rPr>
                <w:sz w:val="24"/>
              </w:rPr>
              <w:t>Monthly</w:t>
            </w:r>
          </w:p>
        </w:tc>
      </w:tr>
      <w:tr>
        <w:trPr>
          <w:trHeight w:val="1024" w:hRule="atLeast"/>
        </w:trPr>
        <w:tc>
          <w:tcPr>
            <w:tcW w:w="3026" w:type="dxa"/>
          </w:tcPr>
          <w:p>
            <w:pPr>
              <w:pStyle w:val="TableParagraph"/>
              <w:spacing w:before="7"/>
              <w:jc w:val="left"/>
              <w:rPr>
                <w:b/>
                <w:sz w:val="32"/>
              </w:rPr>
            </w:pPr>
          </w:p>
          <w:p>
            <w:pPr>
              <w:pStyle w:val="TableParagraph"/>
              <w:spacing w:before="1"/>
              <w:ind w:left="363" w:right="356"/>
              <w:rPr>
                <w:sz w:val="24"/>
              </w:rPr>
            </w:pPr>
            <w:r>
              <w:rPr>
                <w:sz w:val="24"/>
              </w:rPr>
              <w:t>Colorado Lagoon</w:t>
            </w:r>
          </w:p>
        </w:tc>
        <w:tc>
          <w:tcPr>
            <w:tcW w:w="2492" w:type="dxa"/>
          </w:tcPr>
          <w:p>
            <w:pPr>
              <w:pStyle w:val="TableParagraph"/>
              <w:spacing w:before="7"/>
              <w:jc w:val="left"/>
              <w:rPr>
                <w:b/>
                <w:sz w:val="32"/>
              </w:rPr>
            </w:pPr>
          </w:p>
          <w:p>
            <w:pPr>
              <w:pStyle w:val="TableParagraph"/>
              <w:spacing w:before="1"/>
              <w:ind w:left="497" w:right="488"/>
              <w:rPr>
                <w:sz w:val="24"/>
              </w:rPr>
            </w:pPr>
            <w:r>
              <w:rPr>
                <w:sz w:val="24"/>
              </w:rPr>
              <w:t>Dieldrin</w:t>
            </w:r>
          </w:p>
        </w:tc>
        <w:tc>
          <w:tcPr>
            <w:tcW w:w="894" w:type="dxa"/>
          </w:tcPr>
          <w:p>
            <w:pPr>
              <w:pStyle w:val="TableParagraph"/>
              <w:spacing w:before="98"/>
              <w:ind w:left="101" w:right="87" w:hanging="2"/>
              <w:rPr>
                <w:sz w:val="24"/>
              </w:rPr>
            </w:pPr>
            <w:r>
              <w:rPr>
                <w:sz w:val="24"/>
              </w:rPr>
              <w:t>μg/kg dry weight</w:t>
            </w:r>
          </w:p>
        </w:tc>
        <w:tc>
          <w:tcPr>
            <w:tcW w:w="1248" w:type="dxa"/>
          </w:tcPr>
          <w:p>
            <w:pPr>
              <w:pStyle w:val="TableParagraph"/>
              <w:spacing w:before="7"/>
              <w:jc w:val="left"/>
              <w:rPr>
                <w:b/>
                <w:sz w:val="32"/>
              </w:rPr>
            </w:pPr>
          </w:p>
          <w:p>
            <w:pPr>
              <w:pStyle w:val="TableParagraph"/>
              <w:spacing w:before="1"/>
              <w:ind w:left="69" w:right="57"/>
              <w:rPr>
                <w:sz w:val="24"/>
              </w:rPr>
            </w:pPr>
            <w:r>
              <w:rPr>
                <w:sz w:val="24"/>
              </w:rPr>
              <w:t>0.02</w:t>
            </w:r>
          </w:p>
        </w:tc>
        <w:tc>
          <w:tcPr>
            <w:tcW w:w="1690" w:type="dxa"/>
          </w:tcPr>
          <w:p>
            <w:pPr>
              <w:pStyle w:val="TableParagraph"/>
              <w:spacing w:before="7"/>
              <w:jc w:val="left"/>
              <w:rPr>
                <w:b/>
                <w:sz w:val="32"/>
              </w:rPr>
            </w:pPr>
          </w:p>
          <w:p>
            <w:pPr>
              <w:pStyle w:val="TableParagraph"/>
              <w:spacing w:before="1"/>
              <w:ind w:left="238" w:right="228"/>
              <w:rPr>
                <w:sz w:val="24"/>
              </w:rPr>
            </w:pPr>
            <w:r>
              <w:rPr>
                <w:sz w:val="24"/>
              </w:rPr>
              <w:t>Monthly</w:t>
            </w:r>
          </w:p>
        </w:tc>
      </w:tr>
      <w:tr>
        <w:trPr>
          <w:trHeight w:val="1023" w:hRule="atLeast"/>
        </w:trPr>
        <w:tc>
          <w:tcPr>
            <w:tcW w:w="3026" w:type="dxa"/>
          </w:tcPr>
          <w:p>
            <w:pPr>
              <w:pStyle w:val="TableParagraph"/>
              <w:spacing w:before="6"/>
              <w:jc w:val="left"/>
              <w:rPr>
                <w:b/>
                <w:sz w:val="32"/>
              </w:rPr>
            </w:pPr>
          </w:p>
          <w:p>
            <w:pPr>
              <w:pStyle w:val="TableParagraph"/>
              <w:ind w:left="363" w:right="356"/>
              <w:rPr>
                <w:sz w:val="24"/>
              </w:rPr>
            </w:pPr>
            <w:r>
              <w:rPr>
                <w:sz w:val="24"/>
              </w:rPr>
              <w:t>Colorado Lagoon</w:t>
            </w:r>
          </w:p>
        </w:tc>
        <w:tc>
          <w:tcPr>
            <w:tcW w:w="2492" w:type="dxa"/>
          </w:tcPr>
          <w:p>
            <w:pPr>
              <w:pStyle w:val="TableParagraph"/>
              <w:spacing w:before="6"/>
              <w:jc w:val="left"/>
              <w:rPr>
                <w:b/>
                <w:sz w:val="32"/>
              </w:rPr>
            </w:pPr>
          </w:p>
          <w:p>
            <w:pPr>
              <w:pStyle w:val="TableParagraph"/>
              <w:ind w:left="497" w:right="488"/>
              <w:rPr>
                <w:sz w:val="24"/>
              </w:rPr>
            </w:pPr>
            <w:r>
              <w:rPr>
                <w:sz w:val="24"/>
              </w:rPr>
              <w:t>Lead</w:t>
            </w:r>
          </w:p>
        </w:tc>
        <w:tc>
          <w:tcPr>
            <w:tcW w:w="894" w:type="dxa"/>
          </w:tcPr>
          <w:p>
            <w:pPr>
              <w:pStyle w:val="TableParagraph"/>
              <w:spacing w:before="97"/>
              <w:ind w:left="101" w:right="87" w:hanging="1"/>
              <w:rPr>
                <w:sz w:val="24"/>
              </w:rPr>
            </w:pPr>
            <w:r>
              <w:rPr>
                <w:sz w:val="24"/>
              </w:rPr>
              <w:t>μg/kg dry weight</w:t>
            </w:r>
          </w:p>
        </w:tc>
        <w:tc>
          <w:tcPr>
            <w:tcW w:w="1248" w:type="dxa"/>
          </w:tcPr>
          <w:p>
            <w:pPr>
              <w:pStyle w:val="TableParagraph"/>
              <w:spacing w:before="6"/>
              <w:jc w:val="left"/>
              <w:rPr>
                <w:b/>
                <w:sz w:val="32"/>
              </w:rPr>
            </w:pPr>
          </w:p>
          <w:p>
            <w:pPr>
              <w:pStyle w:val="TableParagraph"/>
              <w:ind w:left="69" w:right="59"/>
              <w:rPr>
                <w:sz w:val="24"/>
              </w:rPr>
            </w:pPr>
            <w:r>
              <w:rPr>
                <w:sz w:val="24"/>
              </w:rPr>
              <w:t>46,700.00</w:t>
            </w:r>
          </w:p>
        </w:tc>
        <w:tc>
          <w:tcPr>
            <w:tcW w:w="1690" w:type="dxa"/>
          </w:tcPr>
          <w:p>
            <w:pPr>
              <w:pStyle w:val="TableParagraph"/>
              <w:spacing w:before="6"/>
              <w:jc w:val="left"/>
              <w:rPr>
                <w:b/>
                <w:sz w:val="32"/>
              </w:rPr>
            </w:pPr>
          </w:p>
          <w:p>
            <w:pPr>
              <w:pStyle w:val="TableParagraph"/>
              <w:ind w:left="237" w:right="228"/>
              <w:rPr>
                <w:sz w:val="24"/>
              </w:rPr>
            </w:pPr>
            <w:r>
              <w:rPr>
                <w:sz w:val="24"/>
              </w:rPr>
              <w:t>Monthly</w:t>
            </w:r>
          </w:p>
        </w:tc>
      </w:tr>
      <w:tr>
        <w:trPr>
          <w:trHeight w:val="1024" w:hRule="atLeast"/>
        </w:trPr>
        <w:tc>
          <w:tcPr>
            <w:tcW w:w="3026" w:type="dxa"/>
          </w:tcPr>
          <w:p>
            <w:pPr>
              <w:pStyle w:val="TableParagraph"/>
              <w:spacing w:before="7"/>
              <w:jc w:val="left"/>
              <w:rPr>
                <w:b/>
                <w:sz w:val="32"/>
              </w:rPr>
            </w:pPr>
          </w:p>
          <w:p>
            <w:pPr>
              <w:pStyle w:val="TableParagraph"/>
              <w:spacing w:before="1"/>
              <w:ind w:left="362" w:right="356"/>
              <w:rPr>
                <w:sz w:val="24"/>
              </w:rPr>
            </w:pPr>
            <w:r>
              <w:rPr>
                <w:sz w:val="24"/>
              </w:rPr>
              <w:t>Colorado Lagoon</w:t>
            </w:r>
          </w:p>
        </w:tc>
        <w:tc>
          <w:tcPr>
            <w:tcW w:w="2492" w:type="dxa"/>
          </w:tcPr>
          <w:p>
            <w:pPr>
              <w:pStyle w:val="TableParagraph"/>
              <w:spacing w:before="7"/>
              <w:jc w:val="left"/>
              <w:rPr>
                <w:b/>
                <w:sz w:val="32"/>
              </w:rPr>
            </w:pPr>
          </w:p>
          <w:p>
            <w:pPr>
              <w:pStyle w:val="TableParagraph"/>
              <w:spacing w:before="1"/>
              <w:ind w:left="494" w:right="488"/>
              <w:rPr>
                <w:sz w:val="24"/>
              </w:rPr>
            </w:pPr>
            <w:r>
              <w:rPr>
                <w:sz w:val="24"/>
              </w:rPr>
              <w:t>Zinc</w:t>
            </w:r>
          </w:p>
        </w:tc>
        <w:tc>
          <w:tcPr>
            <w:tcW w:w="894" w:type="dxa"/>
          </w:tcPr>
          <w:p>
            <w:pPr>
              <w:pStyle w:val="TableParagraph"/>
              <w:spacing w:before="98"/>
              <w:ind w:left="101" w:right="87" w:hanging="1"/>
              <w:rPr>
                <w:sz w:val="24"/>
              </w:rPr>
            </w:pPr>
            <w:r>
              <w:rPr>
                <w:sz w:val="24"/>
              </w:rPr>
              <w:t>μg/kg dry weight</w:t>
            </w:r>
          </w:p>
        </w:tc>
        <w:tc>
          <w:tcPr>
            <w:tcW w:w="1248" w:type="dxa"/>
          </w:tcPr>
          <w:p>
            <w:pPr>
              <w:pStyle w:val="TableParagraph"/>
              <w:spacing w:before="6"/>
              <w:jc w:val="left"/>
              <w:rPr>
                <w:b/>
                <w:sz w:val="20"/>
              </w:rPr>
            </w:pPr>
          </w:p>
          <w:p>
            <w:pPr>
              <w:pStyle w:val="TableParagraph"/>
              <w:ind w:left="69" w:right="60"/>
              <w:rPr>
                <w:sz w:val="24"/>
              </w:rPr>
            </w:pPr>
            <w:r>
              <w:rPr>
                <w:sz w:val="24"/>
              </w:rPr>
              <w:t>150,000.0</w:t>
            </w:r>
          </w:p>
          <w:p>
            <w:pPr>
              <w:pStyle w:val="TableParagraph"/>
              <w:ind w:left="12"/>
              <w:rPr>
                <w:sz w:val="24"/>
              </w:rPr>
            </w:pPr>
            <w:r>
              <w:rPr>
                <w:sz w:val="24"/>
              </w:rPr>
              <w:t>0</w:t>
            </w:r>
          </w:p>
        </w:tc>
        <w:tc>
          <w:tcPr>
            <w:tcW w:w="1690" w:type="dxa"/>
          </w:tcPr>
          <w:p>
            <w:pPr>
              <w:pStyle w:val="TableParagraph"/>
              <w:spacing w:before="7"/>
              <w:jc w:val="left"/>
              <w:rPr>
                <w:b/>
                <w:sz w:val="32"/>
              </w:rPr>
            </w:pPr>
          </w:p>
          <w:p>
            <w:pPr>
              <w:pStyle w:val="TableParagraph"/>
              <w:spacing w:before="1"/>
              <w:ind w:left="238" w:right="228"/>
              <w:rPr>
                <w:sz w:val="24"/>
              </w:rPr>
            </w:pPr>
            <w:r>
              <w:rPr>
                <w:sz w:val="24"/>
              </w:rPr>
              <w:t>Monthly</w:t>
            </w:r>
          </w:p>
        </w:tc>
      </w:tr>
    </w:tbl>
    <w:p>
      <w:pPr>
        <w:spacing w:after="0"/>
        <w:rPr>
          <w:sz w:val="24"/>
        </w:rPr>
        <w:sectPr>
          <w:pgSz w:w="12240" w:h="15840"/>
          <w:pgMar w:header="728" w:footer="788" w:top="1540" w:bottom="980" w:left="1160" w:right="420"/>
        </w:sectPr>
      </w:pPr>
    </w:p>
    <w:p>
      <w:pPr>
        <w:pStyle w:val="BodyText"/>
        <w:spacing w:before="11"/>
        <w:rPr>
          <w:b/>
          <w:sz w:val="23"/>
        </w:rPr>
      </w:pPr>
    </w:p>
    <w:tbl>
      <w:tblPr>
        <w:tblW w:w="0" w:type="auto"/>
        <w:jc w:val="left"/>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26"/>
        <w:gridCol w:w="2492"/>
        <w:gridCol w:w="894"/>
        <w:gridCol w:w="1248"/>
        <w:gridCol w:w="1690"/>
      </w:tblGrid>
      <w:tr>
        <w:trPr>
          <w:trHeight w:val="1559" w:hRule="atLeast"/>
        </w:trPr>
        <w:tc>
          <w:tcPr>
            <w:tcW w:w="3026" w:type="dxa"/>
            <w:shd w:val="clear" w:color="auto" w:fill="D9D9D9"/>
          </w:tcPr>
          <w:p>
            <w:pPr>
              <w:pStyle w:val="TableParagraph"/>
              <w:jc w:val="left"/>
              <w:rPr>
                <w:b/>
                <w:sz w:val="26"/>
              </w:rPr>
            </w:pPr>
          </w:p>
          <w:p>
            <w:pPr>
              <w:pStyle w:val="TableParagraph"/>
              <w:spacing w:before="11"/>
              <w:jc w:val="left"/>
              <w:rPr>
                <w:b/>
                <w:sz w:val="29"/>
              </w:rPr>
            </w:pPr>
          </w:p>
          <w:p>
            <w:pPr>
              <w:pStyle w:val="TableParagraph"/>
              <w:ind w:left="364" w:right="355"/>
              <w:rPr>
                <w:b/>
                <w:sz w:val="24"/>
              </w:rPr>
            </w:pPr>
            <w:r>
              <w:rPr>
                <w:b/>
                <w:sz w:val="24"/>
              </w:rPr>
              <w:t>Waterbody</w:t>
            </w:r>
          </w:p>
        </w:tc>
        <w:tc>
          <w:tcPr>
            <w:tcW w:w="2492" w:type="dxa"/>
            <w:shd w:val="clear" w:color="auto" w:fill="D9D9D9"/>
          </w:tcPr>
          <w:p>
            <w:pPr>
              <w:pStyle w:val="TableParagraph"/>
              <w:jc w:val="left"/>
              <w:rPr>
                <w:b/>
                <w:sz w:val="26"/>
              </w:rPr>
            </w:pPr>
          </w:p>
          <w:p>
            <w:pPr>
              <w:pStyle w:val="TableParagraph"/>
              <w:spacing w:before="11"/>
              <w:jc w:val="left"/>
              <w:rPr>
                <w:b/>
                <w:sz w:val="29"/>
              </w:rPr>
            </w:pPr>
          </w:p>
          <w:p>
            <w:pPr>
              <w:pStyle w:val="TableParagraph"/>
              <w:ind w:left="497" w:right="488"/>
              <w:rPr>
                <w:b/>
                <w:sz w:val="24"/>
              </w:rPr>
            </w:pPr>
            <w:r>
              <w:rPr>
                <w:b/>
                <w:sz w:val="24"/>
              </w:rPr>
              <w:t>Parameter</w:t>
            </w:r>
          </w:p>
        </w:tc>
        <w:tc>
          <w:tcPr>
            <w:tcW w:w="894" w:type="dxa"/>
            <w:shd w:val="clear" w:color="auto" w:fill="D9D9D9"/>
          </w:tcPr>
          <w:p>
            <w:pPr>
              <w:pStyle w:val="TableParagraph"/>
              <w:jc w:val="left"/>
              <w:rPr>
                <w:b/>
                <w:sz w:val="26"/>
              </w:rPr>
            </w:pPr>
          </w:p>
          <w:p>
            <w:pPr>
              <w:pStyle w:val="TableParagraph"/>
              <w:spacing w:before="11"/>
              <w:jc w:val="left"/>
              <w:rPr>
                <w:b/>
                <w:sz w:val="29"/>
              </w:rPr>
            </w:pPr>
          </w:p>
          <w:p>
            <w:pPr>
              <w:pStyle w:val="TableParagraph"/>
              <w:ind w:left="148"/>
              <w:jc w:val="left"/>
              <w:rPr>
                <w:b/>
                <w:sz w:val="24"/>
              </w:rPr>
            </w:pPr>
            <w:r>
              <w:rPr>
                <w:b/>
                <w:sz w:val="24"/>
              </w:rPr>
              <w:t>Units</w:t>
            </w:r>
          </w:p>
        </w:tc>
        <w:tc>
          <w:tcPr>
            <w:tcW w:w="1248" w:type="dxa"/>
            <w:shd w:val="clear" w:color="auto" w:fill="D9D9D9"/>
          </w:tcPr>
          <w:p>
            <w:pPr>
              <w:pStyle w:val="TableParagraph"/>
              <w:jc w:val="left"/>
              <w:rPr>
                <w:b/>
                <w:sz w:val="26"/>
              </w:rPr>
            </w:pPr>
          </w:p>
          <w:p>
            <w:pPr>
              <w:pStyle w:val="TableParagraph"/>
              <w:spacing w:before="11"/>
              <w:jc w:val="left"/>
              <w:rPr>
                <w:b/>
                <w:sz w:val="29"/>
              </w:rPr>
            </w:pPr>
          </w:p>
          <w:p>
            <w:pPr>
              <w:pStyle w:val="TableParagraph"/>
              <w:ind w:left="69" w:right="59"/>
              <w:rPr>
                <w:b/>
                <w:sz w:val="24"/>
              </w:rPr>
            </w:pPr>
            <w:r>
              <w:rPr>
                <w:b/>
                <w:sz w:val="24"/>
              </w:rPr>
              <w:t>Value</w:t>
            </w:r>
          </w:p>
        </w:tc>
        <w:tc>
          <w:tcPr>
            <w:tcW w:w="1690" w:type="dxa"/>
            <w:shd w:val="clear" w:color="auto" w:fill="D9D9D9"/>
          </w:tcPr>
          <w:p>
            <w:pPr>
              <w:pStyle w:val="TableParagraph"/>
              <w:jc w:val="left"/>
              <w:rPr>
                <w:b/>
                <w:sz w:val="26"/>
              </w:rPr>
            </w:pPr>
          </w:p>
          <w:p>
            <w:pPr>
              <w:pStyle w:val="TableParagraph"/>
              <w:spacing w:before="205"/>
              <w:ind w:left="472" w:right="228" w:hanging="214"/>
              <w:jc w:val="left"/>
              <w:rPr>
                <w:b/>
                <w:sz w:val="24"/>
              </w:rPr>
            </w:pPr>
            <w:r>
              <w:rPr>
                <w:b/>
                <w:sz w:val="24"/>
              </w:rPr>
              <w:t>Averaging Period</w:t>
            </w:r>
          </w:p>
        </w:tc>
      </w:tr>
      <w:tr>
        <w:trPr>
          <w:trHeight w:val="1024" w:hRule="atLeast"/>
        </w:trPr>
        <w:tc>
          <w:tcPr>
            <w:tcW w:w="3026" w:type="dxa"/>
          </w:tcPr>
          <w:p>
            <w:pPr>
              <w:pStyle w:val="TableParagraph"/>
              <w:spacing w:before="7"/>
              <w:jc w:val="left"/>
              <w:rPr>
                <w:b/>
                <w:sz w:val="32"/>
              </w:rPr>
            </w:pPr>
          </w:p>
          <w:p>
            <w:pPr>
              <w:pStyle w:val="TableParagraph"/>
              <w:spacing w:before="1"/>
              <w:ind w:left="362" w:right="356"/>
              <w:rPr>
                <w:sz w:val="24"/>
              </w:rPr>
            </w:pPr>
            <w:r>
              <w:rPr>
                <w:sz w:val="24"/>
              </w:rPr>
              <w:t>Colorado Lagoon</w:t>
            </w:r>
          </w:p>
        </w:tc>
        <w:tc>
          <w:tcPr>
            <w:tcW w:w="2492" w:type="dxa"/>
          </w:tcPr>
          <w:p>
            <w:pPr>
              <w:pStyle w:val="TableParagraph"/>
              <w:spacing w:before="2"/>
              <w:jc w:val="left"/>
              <w:rPr>
                <w:b/>
                <w:sz w:val="32"/>
              </w:rPr>
            </w:pPr>
          </w:p>
          <w:p>
            <w:pPr>
              <w:pStyle w:val="TableParagraph"/>
              <w:spacing w:before="1"/>
              <w:ind w:left="496" w:right="488"/>
              <w:rPr>
                <w:sz w:val="16"/>
              </w:rPr>
            </w:pPr>
            <w:r>
              <w:rPr>
                <w:sz w:val="24"/>
              </w:rPr>
              <w:t>PAHs</w:t>
            </w:r>
            <w:r>
              <w:rPr>
                <w:position w:val="8"/>
                <w:sz w:val="16"/>
              </w:rPr>
              <w:t>4</w:t>
            </w:r>
          </w:p>
        </w:tc>
        <w:tc>
          <w:tcPr>
            <w:tcW w:w="894" w:type="dxa"/>
          </w:tcPr>
          <w:p>
            <w:pPr>
              <w:pStyle w:val="TableParagraph"/>
              <w:spacing w:before="98"/>
              <w:ind w:left="101" w:right="87" w:hanging="1"/>
              <w:rPr>
                <w:sz w:val="24"/>
              </w:rPr>
            </w:pPr>
            <w:r>
              <w:rPr>
                <w:sz w:val="24"/>
              </w:rPr>
              <w:t>μg/kg dry weight</w:t>
            </w:r>
          </w:p>
        </w:tc>
        <w:tc>
          <w:tcPr>
            <w:tcW w:w="1248" w:type="dxa"/>
          </w:tcPr>
          <w:p>
            <w:pPr>
              <w:pStyle w:val="TableParagraph"/>
              <w:spacing w:before="7"/>
              <w:jc w:val="left"/>
              <w:rPr>
                <w:b/>
                <w:sz w:val="32"/>
              </w:rPr>
            </w:pPr>
          </w:p>
          <w:p>
            <w:pPr>
              <w:pStyle w:val="TableParagraph"/>
              <w:spacing w:before="1"/>
              <w:ind w:left="69" w:right="59"/>
              <w:rPr>
                <w:sz w:val="24"/>
              </w:rPr>
            </w:pPr>
            <w:r>
              <w:rPr>
                <w:sz w:val="24"/>
              </w:rPr>
              <w:t>4,022.00</w:t>
            </w:r>
          </w:p>
        </w:tc>
        <w:tc>
          <w:tcPr>
            <w:tcW w:w="1690" w:type="dxa"/>
          </w:tcPr>
          <w:p>
            <w:pPr>
              <w:pStyle w:val="TableParagraph"/>
              <w:spacing w:before="7"/>
              <w:jc w:val="left"/>
              <w:rPr>
                <w:b/>
                <w:sz w:val="32"/>
              </w:rPr>
            </w:pPr>
          </w:p>
          <w:p>
            <w:pPr>
              <w:pStyle w:val="TableParagraph"/>
              <w:spacing w:before="1"/>
              <w:ind w:left="237" w:right="228"/>
              <w:rPr>
                <w:sz w:val="24"/>
              </w:rPr>
            </w:pPr>
            <w:r>
              <w:rPr>
                <w:sz w:val="24"/>
              </w:rPr>
              <w:t>Monthly</w:t>
            </w:r>
          </w:p>
        </w:tc>
      </w:tr>
      <w:tr>
        <w:trPr>
          <w:trHeight w:val="1023" w:hRule="atLeast"/>
        </w:trPr>
        <w:tc>
          <w:tcPr>
            <w:tcW w:w="3026" w:type="dxa"/>
          </w:tcPr>
          <w:p>
            <w:pPr>
              <w:pStyle w:val="TableParagraph"/>
              <w:spacing w:before="7"/>
              <w:jc w:val="left"/>
              <w:rPr>
                <w:b/>
                <w:sz w:val="32"/>
              </w:rPr>
            </w:pPr>
          </w:p>
          <w:p>
            <w:pPr>
              <w:pStyle w:val="TableParagraph"/>
              <w:spacing w:before="1"/>
              <w:ind w:left="361" w:right="356"/>
              <w:rPr>
                <w:sz w:val="24"/>
              </w:rPr>
            </w:pPr>
            <w:r>
              <w:rPr>
                <w:sz w:val="24"/>
              </w:rPr>
              <w:t>Colorado Lagoon</w:t>
            </w:r>
          </w:p>
        </w:tc>
        <w:tc>
          <w:tcPr>
            <w:tcW w:w="2492" w:type="dxa"/>
          </w:tcPr>
          <w:p>
            <w:pPr>
              <w:pStyle w:val="TableParagraph"/>
              <w:spacing w:before="7"/>
              <w:jc w:val="left"/>
              <w:rPr>
                <w:b/>
                <w:sz w:val="32"/>
              </w:rPr>
            </w:pPr>
          </w:p>
          <w:p>
            <w:pPr>
              <w:pStyle w:val="TableParagraph"/>
              <w:spacing w:before="1"/>
              <w:ind w:left="494" w:right="488"/>
              <w:rPr>
                <w:sz w:val="24"/>
              </w:rPr>
            </w:pPr>
            <w:r>
              <w:rPr>
                <w:sz w:val="24"/>
              </w:rPr>
              <w:t>PCBs</w:t>
            </w:r>
          </w:p>
        </w:tc>
        <w:tc>
          <w:tcPr>
            <w:tcW w:w="894" w:type="dxa"/>
          </w:tcPr>
          <w:p>
            <w:pPr>
              <w:pStyle w:val="TableParagraph"/>
              <w:spacing w:before="98"/>
              <w:ind w:left="101" w:right="87" w:hanging="1"/>
              <w:rPr>
                <w:sz w:val="24"/>
              </w:rPr>
            </w:pPr>
            <w:r>
              <w:rPr>
                <w:sz w:val="24"/>
              </w:rPr>
              <w:t>μg/kg dry weight</w:t>
            </w:r>
          </w:p>
        </w:tc>
        <w:tc>
          <w:tcPr>
            <w:tcW w:w="1248" w:type="dxa"/>
          </w:tcPr>
          <w:p>
            <w:pPr>
              <w:pStyle w:val="TableParagraph"/>
              <w:spacing w:before="7"/>
              <w:jc w:val="left"/>
              <w:rPr>
                <w:b/>
                <w:sz w:val="32"/>
              </w:rPr>
            </w:pPr>
          </w:p>
          <w:p>
            <w:pPr>
              <w:pStyle w:val="TableParagraph"/>
              <w:spacing w:before="1"/>
              <w:ind w:left="69" w:right="59"/>
              <w:rPr>
                <w:sz w:val="24"/>
              </w:rPr>
            </w:pPr>
            <w:r>
              <w:rPr>
                <w:sz w:val="24"/>
              </w:rPr>
              <w:t>22.70</w:t>
            </w:r>
          </w:p>
        </w:tc>
        <w:tc>
          <w:tcPr>
            <w:tcW w:w="1690" w:type="dxa"/>
          </w:tcPr>
          <w:p>
            <w:pPr>
              <w:pStyle w:val="TableParagraph"/>
              <w:spacing w:before="7"/>
              <w:jc w:val="left"/>
              <w:rPr>
                <w:b/>
                <w:sz w:val="32"/>
              </w:rPr>
            </w:pPr>
          </w:p>
          <w:p>
            <w:pPr>
              <w:pStyle w:val="TableParagraph"/>
              <w:spacing w:before="1"/>
              <w:ind w:left="238" w:right="228"/>
              <w:rPr>
                <w:sz w:val="24"/>
              </w:rPr>
            </w:pPr>
            <w:r>
              <w:rPr>
                <w:sz w:val="24"/>
              </w:rPr>
              <w:t>Monthly</w:t>
            </w:r>
          </w:p>
        </w:tc>
      </w:tr>
      <w:tr>
        <w:trPr>
          <w:trHeight w:val="1024" w:hRule="atLeast"/>
        </w:trPr>
        <w:tc>
          <w:tcPr>
            <w:tcW w:w="3026" w:type="dxa"/>
          </w:tcPr>
          <w:p>
            <w:pPr>
              <w:pStyle w:val="TableParagraph"/>
              <w:spacing w:before="7"/>
              <w:jc w:val="left"/>
              <w:rPr>
                <w:b/>
                <w:sz w:val="32"/>
              </w:rPr>
            </w:pPr>
          </w:p>
          <w:p>
            <w:pPr>
              <w:pStyle w:val="TableParagraph"/>
              <w:spacing w:before="1"/>
              <w:ind w:left="361" w:right="356"/>
              <w:rPr>
                <w:sz w:val="24"/>
              </w:rPr>
            </w:pPr>
            <w:r>
              <w:rPr>
                <w:sz w:val="24"/>
              </w:rPr>
              <w:t>Colorado Lagoon</w:t>
            </w:r>
          </w:p>
        </w:tc>
        <w:tc>
          <w:tcPr>
            <w:tcW w:w="2492" w:type="dxa"/>
          </w:tcPr>
          <w:p>
            <w:pPr>
              <w:pStyle w:val="TableParagraph"/>
              <w:spacing w:before="7"/>
              <w:jc w:val="left"/>
              <w:rPr>
                <w:b/>
                <w:sz w:val="32"/>
              </w:rPr>
            </w:pPr>
          </w:p>
          <w:p>
            <w:pPr>
              <w:pStyle w:val="TableParagraph"/>
              <w:spacing w:before="1"/>
              <w:ind w:left="494" w:right="488"/>
              <w:rPr>
                <w:sz w:val="24"/>
              </w:rPr>
            </w:pPr>
            <w:r>
              <w:rPr>
                <w:sz w:val="24"/>
              </w:rPr>
              <w:t>DDT</w:t>
            </w:r>
          </w:p>
        </w:tc>
        <w:tc>
          <w:tcPr>
            <w:tcW w:w="894" w:type="dxa"/>
          </w:tcPr>
          <w:p>
            <w:pPr>
              <w:pStyle w:val="TableParagraph"/>
              <w:spacing w:before="98"/>
              <w:ind w:left="101" w:right="87" w:hanging="1"/>
              <w:rPr>
                <w:sz w:val="24"/>
              </w:rPr>
            </w:pPr>
            <w:r>
              <w:rPr>
                <w:sz w:val="24"/>
              </w:rPr>
              <w:t>μg/kg dry weight</w:t>
            </w:r>
          </w:p>
        </w:tc>
        <w:tc>
          <w:tcPr>
            <w:tcW w:w="1248" w:type="dxa"/>
          </w:tcPr>
          <w:p>
            <w:pPr>
              <w:pStyle w:val="TableParagraph"/>
              <w:spacing w:before="7"/>
              <w:jc w:val="left"/>
              <w:rPr>
                <w:b/>
                <w:sz w:val="32"/>
              </w:rPr>
            </w:pPr>
          </w:p>
          <w:p>
            <w:pPr>
              <w:pStyle w:val="TableParagraph"/>
              <w:spacing w:before="1"/>
              <w:ind w:left="69" w:right="57"/>
              <w:rPr>
                <w:sz w:val="24"/>
              </w:rPr>
            </w:pPr>
            <w:r>
              <w:rPr>
                <w:sz w:val="24"/>
              </w:rPr>
              <w:t>1.58</w:t>
            </w:r>
          </w:p>
        </w:tc>
        <w:tc>
          <w:tcPr>
            <w:tcW w:w="1690" w:type="dxa"/>
          </w:tcPr>
          <w:p>
            <w:pPr>
              <w:pStyle w:val="TableParagraph"/>
              <w:spacing w:before="7"/>
              <w:jc w:val="left"/>
              <w:rPr>
                <w:b/>
                <w:sz w:val="32"/>
              </w:rPr>
            </w:pPr>
          </w:p>
          <w:p>
            <w:pPr>
              <w:pStyle w:val="TableParagraph"/>
              <w:spacing w:before="1"/>
              <w:ind w:left="238" w:right="228"/>
              <w:rPr>
                <w:sz w:val="24"/>
              </w:rPr>
            </w:pPr>
            <w:r>
              <w:rPr>
                <w:sz w:val="24"/>
              </w:rPr>
              <w:t>Monthly</w:t>
            </w:r>
          </w:p>
        </w:tc>
      </w:tr>
      <w:tr>
        <w:trPr>
          <w:trHeight w:val="748" w:hRule="atLeast"/>
        </w:trPr>
        <w:tc>
          <w:tcPr>
            <w:tcW w:w="3026" w:type="dxa"/>
          </w:tcPr>
          <w:p>
            <w:pPr>
              <w:pStyle w:val="TableParagraph"/>
              <w:spacing w:before="233"/>
              <w:ind w:left="362" w:right="356"/>
              <w:rPr>
                <w:sz w:val="16"/>
              </w:rPr>
            </w:pPr>
            <w:r>
              <w:rPr>
                <w:sz w:val="24"/>
              </w:rPr>
              <w:t>Colorado Lagoon</w:t>
            </w:r>
            <w:r>
              <w:rPr>
                <w:position w:val="8"/>
                <w:sz w:val="16"/>
              </w:rPr>
              <w:t>1</w:t>
            </w:r>
          </w:p>
        </w:tc>
        <w:tc>
          <w:tcPr>
            <w:tcW w:w="2492" w:type="dxa"/>
          </w:tcPr>
          <w:p>
            <w:pPr>
              <w:pStyle w:val="TableParagraph"/>
              <w:spacing w:before="7"/>
              <w:jc w:val="left"/>
              <w:rPr>
                <w:b/>
                <w:sz w:val="20"/>
              </w:rPr>
            </w:pPr>
          </w:p>
          <w:p>
            <w:pPr>
              <w:pStyle w:val="TableParagraph"/>
              <w:spacing w:before="1"/>
              <w:ind w:left="498" w:right="488"/>
              <w:rPr>
                <w:sz w:val="24"/>
              </w:rPr>
            </w:pPr>
            <w:r>
              <w:rPr>
                <w:sz w:val="24"/>
              </w:rPr>
              <w:t>Enterococcus</w:t>
            </w:r>
          </w:p>
        </w:tc>
        <w:tc>
          <w:tcPr>
            <w:tcW w:w="894" w:type="dxa"/>
          </w:tcPr>
          <w:p>
            <w:pPr>
              <w:pStyle w:val="TableParagraph"/>
              <w:spacing w:before="98"/>
              <w:ind w:left="81" w:right="49" w:firstLine="174"/>
              <w:jc w:val="left"/>
              <w:rPr>
                <w:sz w:val="24"/>
              </w:rPr>
            </w:pPr>
            <w:r>
              <w:rPr>
                <w:sz w:val="24"/>
              </w:rPr>
              <w:t>cfu/ 100mL</w:t>
            </w:r>
          </w:p>
        </w:tc>
        <w:tc>
          <w:tcPr>
            <w:tcW w:w="1248" w:type="dxa"/>
          </w:tcPr>
          <w:p>
            <w:pPr>
              <w:pStyle w:val="TableParagraph"/>
              <w:spacing w:before="7"/>
              <w:jc w:val="left"/>
              <w:rPr>
                <w:b/>
                <w:sz w:val="20"/>
              </w:rPr>
            </w:pPr>
          </w:p>
          <w:p>
            <w:pPr>
              <w:pStyle w:val="TableParagraph"/>
              <w:spacing w:before="1"/>
              <w:ind w:left="69" w:right="59"/>
              <w:rPr>
                <w:sz w:val="24"/>
              </w:rPr>
            </w:pPr>
            <w:r>
              <w:rPr>
                <w:sz w:val="24"/>
              </w:rPr>
              <w:t>110</w:t>
            </w:r>
          </w:p>
        </w:tc>
        <w:tc>
          <w:tcPr>
            <w:tcW w:w="1690" w:type="dxa"/>
          </w:tcPr>
          <w:p>
            <w:pPr>
              <w:pStyle w:val="TableParagraph"/>
              <w:spacing w:before="233"/>
              <w:ind w:left="235" w:right="228"/>
              <w:rPr>
                <w:sz w:val="16"/>
              </w:rPr>
            </w:pPr>
            <w:r>
              <w:rPr>
                <w:sz w:val="24"/>
              </w:rPr>
              <w:t>STV</w:t>
            </w:r>
            <w:r>
              <w:rPr>
                <w:position w:val="8"/>
                <w:sz w:val="16"/>
              </w:rPr>
              <w:t>2</w:t>
            </w:r>
          </w:p>
        </w:tc>
      </w:tr>
      <w:tr>
        <w:trPr>
          <w:trHeight w:val="3258" w:hRule="atLeast"/>
        </w:trPr>
        <w:tc>
          <w:tcPr>
            <w:tcW w:w="9350" w:type="dxa"/>
            <w:gridSpan w:val="5"/>
          </w:tcPr>
          <w:p>
            <w:pPr>
              <w:pStyle w:val="TableParagraph"/>
              <w:spacing w:before="117"/>
              <w:ind w:left="201"/>
              <w:jc w:val="left"/>
              <w:rPr>
                <w:sz w:val="22"/>
              </w:rPr>
            </w:pPr>
            <w:r>
              <w:rPr>
                <w:sz w:val="22"/>
                <w:u w:val="single"/>
              </w:rPr>
              <w:t>Table Notes</w:t>
            </w:r>
          </w:p>
          <w:p>
            <w:pPr>
              <w:pStyle w:val="TableParagraph"/>
              <w:spacing w:before="57"/>
              <w:ind w:left="57" w:right="727"/>
              <w:jc w:val="left"/>
              <w:rPr>
                <w:sz w:val="20"/>
              </w:rPr>
            </w:pPr>
            <w:r>
              <w:rPr>
                <w:position w:val="7"/>
                <w:sz w:val="13"/>
              </w:rPr>
              <w:t>1 </w:t>
            </w:r>
            <w:r>
              <w:rPr>
                <w:sz w:val="20"/>
              </w:rPr>
              <w:t>Effluent limitation is applicable upon the effective date of the Los Cerritos Channel and Estuary, Alamitos Bay, and Colorado Lagoon Indicator Bacteria TMDL.</w:t>
            </w:r>
          </w:p>
          <w:p>
            <w:pPr>
              <w:pStyle w:val="TableParagraph"/>
              <w:spacing w:before="55"/>
              <w:ind w:left="57" w:right="694"/>
              <w:jc w:val="left"/>
              <w:rPr>
                <w:sz w:val="20"/>
              </w:rPr>
            </w:pPr>
            <w:r>
              <w:rPr>
                <w:position w:val="7"/>
                <w:sz w:val="13"/>
              </w:rPr>
              <w:t>2 </w:t>
            </w:r>
            <w:r>
              <w:rPr>
                <w:sz w:val="20"/>
              </w:rPr>
              <w:t>The statistical threshold value (STV) shall not be exceeded by more than 10 percent of samples collected in a calendar month, calculated in a static manner.</w:t>
            </w:r>
          </w:p>
          <w:p>
            <w:pPr>
              <w:pStyle w:val="TableParagraph"/>
              <w:spacing w:before="55"/>
              <w:ind w:left="57" w:right="439"/>
              <w:jc w:val="left"/>
              <w:rPr>
                <w:sz w:val="20"/>
              </w:rPr>
            </w:pPr>
            <w:r>
              <w:rPr>
                <w:position w:val="7"/>
                <w:sz w:val="13"/>
              </w:rPr>
              <w:t>3 </w:t>
            </w:r>
            <w:r>
              <w:rPr>
                <w:sz w:val="20"/>
              </w:rPr>
              <w:t>The effluent limit of 2 TUc is implemented as a trigger requiring initiation and implementation of the TRE/TIE process as outlined in US EPA’s “Understanding and Accounting for Method Variability in Whole Effluent Toxicity Applications Under the National Pollutant Discharge Elimination System Program” (2000) in accordance with TMDL implementation language.</w:t>
            </w:r>
          </w:p>
          <w:p>
            <w:pPr>
              <w:pStyle w:val="TableParagraph"/>
              <w:spacing w:before="57"/>
              <w:ind w:left="57" w:right="416"/>
              <w:jc w:val="left"/>
              <w:rPr>
                <w:sz w:val="20"/>
              </w:rPr>
            </w:pPr>
            <w:r>
              <w:rPr>
                <w:position w:val="7"/>
                <w:sz w:val="13"/>
              </w:rPr>
              <w:t>4 </w:t>
            </w:r>
            <w:r>
              <w:rPr>
                <w:sz w:val="20"/>
              </w:rPr>
              <w:t>PAHs: Polycyclic aromatic hydrocarbons (sum of acenaphthylene, anthracene, benz(a)anthracene, benzo(b)fluoranthene, benzo(k)fluoranthene, benzo(g,h,i)perylene, benzo(a)pyrene, chrysene, dibenz(a,h)anthracene, fluorene, indeno(l ,2,3-c,d)pyrene, phenanthrene, and pyrene).</w:t>
            </w:r>
          </w:p>
        </w:tc>
      </w:tr>
    </w:tbl>
    <w:p>
      <w:pPr>
        <w:pStyle w:val="BodyText"/>
        <w:rPr>
          <w:b/>
          <w:sz w:val="20"/>
        </w:rPr>
      </w:pPr>
    </w:p>
    <w:p>
      <w:pPr>
        <w:pStyle w:val="BodyText"/>
        <w:spacing w:before="10"/>
        <w:rPr>
          <w:b/>
          <w:sz w:val="16"/>
        </w:rPr>
      </w:pPr>
    </w:p>
    <w:p>
      <w:pPr>
        <w:spacing w:before="92"/>
        <w:ind w:left="280" w:right="1292" w:firstLine="0"/>
        <w:jc w:val="left"/>
        <w:rPr>
          <w:b/>
          <w:sz w:val="24"/>
        </w:rPr>
      </w:pPr>
      <w:r>
        <w:rPr>
          <w:b/>
          <w:sz w:val="24"/>
        </w:rPr>
        <w:t>Table 2. Sediment-Associated Effluent Limitations Applicable to the Dominguez Channel Estuary and Inner and Outer Los Angeles and Long Beach Harbor Waters</w:t>
      </w:r>
    </w:p>
    <w:tbl>
      <w:tblPr>
        <w:tblW w:w="0" w:type="auto"/>
        <w:jc w:val="left"/>
        <w:tblInd w:w="3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335"/>
        <w:gridCol w:w="1125"/>
        <w:gridCol w:w="1081"/>
        <w:gridCol w:w="1081"/>
        <w:gridCol w:w="901"/>
        <w:gridCol w:w="901"/>
        <w:gridCol w:w="899"/>
      </w:tblGrid>
      <w:tr>
        <w:trPr>
          <w:trHeight w:val="436" w:hRule="atLeast"/>
        </w:trPr>
        <w:tc>
          <w:tcPr>
            <w:tcW w:w="3335" w:type="dxa"/>
            <w:vMerge w:val="restart"/>
            <w:shd w:val="clear" w:color="auto" w:fill="D9D9D9"/>
          </w:tcPr>
          <w:p>
            <w:pPr>
              <w:pStyle w:val="TableParagraph"/>
              <w:spacing w:before="4"/>
              <w:jc w:val="left"/>
              <w:rPr>
                <w:b/>
                <w:sz w:val="38"/>
              </w:rPr>
            </w:pPr>
          </w:p>
          <w:p>
            <w:pPr>
              <w:pStyle w:val="TableParagraph"/>
              <w:spacing w:before="1"/>
              <w:ind w:left="1000"/>
              <w:jc w:val="left"/>
              <w:rPr>
                <w:b/>
                <w:sz w:val="24"/>
              </w:rPr>
            </w:pPr>
            <w:r>
              <w:rPr>
                <w:b/>
                <w:sz w:val="24"/>
              </w:rPr>
              <w:t>Water Body</w:t>
            </w:r>
          </w:p>
        </w:tc>
        <w:tc>
          <w:tcPr>
            <w:tcW w:w="5988" w:type="dxa"/>
            <w:gridSpan w:val="6"/>
            <w:shd w:val="clear" w:color="auto" w:fill="D9D9D9"/>
          </w:tcPr>
          <w:p>
            <w:pPr>
              <w:pStyle w:val="TableParagraph"/>
              <w:spacing w:before="80"/>
              <w:ind w:left="822" w:right="820"/>
              <w:rPr>
                <w:b/>
                <w:sz w:val="24"/>
              </w:rPr>
            </w:pPr>
            <w:r>
              <w:rPr>
                <w:b/>
                <w:sz w:val="24"/>
              </w:rPr>
              <w:t>Three-year Average (mg/kg sediment)</w:t>
            </w:r>
          </w:p>
        </w:tc>
      </w:tr>
      <w:tr>
        <w:trPr>
          <w:trHeight w:val="711" w:hRule="atLeast"/>
        </w:trPr>
        <w:tc>
          <w:tcPr>
            <w:tcW w:w="3335" w:type="dxa"/>
            <w:vMerge/>
            <w:tcBorders>
              <w:top w:val="nil"/>
            </w:tcBorders>
            <w:shd w:val="clear" w:color="auto" w:fill="D9D9D9"/>
          </w:tcPr>
          <w:p>
            <w:pPr>
              <w:rPr>
                <w:sz w:val="2"/>
                <w:szCs w:val="2"/>
              </w:rPr>
            </w:pPr>
          </w:p>
        </w:tc>
        <w:tc>
          <w:tcPr>
            <w:tcW w:w="1125" w:type="dxa"/>
            <w:shd w:val="clear" w:color="auto" w:fill="D9D9D9"/>
          </w:tcPr>
          <w:p>
            <w:pPr>
              <w:pStyle w:val="TableParagraph"/>
              <w:jc w:val="left"/>
              <w:rPr>
                <w:b/>
                <w:sz w:val="31"/>
              </w:rPr>
            </w:pPr>
          </w:p>
          <w:p>
            <w:pPr>
              <w:pStyle w:val="TableParagraph"/>
              <w:ind w:left="121" w:right="114"/>
              <w:rPr>
                <w:b/>
                <w:sz w:val="24"/>
              </w:rPr>
            </w:pPr>
            <w:r>
              <w:rPr>
                <w:b/>
                <w:sz w:val="24"/>
              </w:rPr>
              <w:t>Copper</w:t>
            </w:r>
          </w:p>
        </w:tc>
        <w:tc>
          <w:tcPr>
            <w:tcW w:w="1081" w:type="dxa"/>
            <w:shd w:val="clear" w:color="auto" w:fill="D9D9D9"/>
          </w:tcPr>
          <w:p>
            <w:pPr>
              <w:pStyle w:val="TableParagraph"/>
              <w:jc w:val="left"/>
              <w:rPr>
                <w:b/>
                <w:sz w:val="31"/>
              </w:rPr>
            </w:pPr>
          </w:p>
          <w:p>
            <w:pPr>
              <w:pStyle w:val="TableParagraph"/>
              <w:ind w:right="251"/>
              <w:jc w:val="right"/>
              <w:rPr>
                <w:b/>
                <w:sz w:val="24"/>
              </w:rPr>
            </w:pPr>
            <w:r>
              <w:rPr>
                <w:b/>
                <w:sz w:val="24"/>
              </w:rPr>
              <w:t>Lead</w:t>
            </w:r>
          </w:p>
        </w:tc>
        <w:tc>
          <w:tcPr>
            <w:tcW w:w="1081" w:type="dxa"/>
            <w:shd w:val="clear" w:color="auto" w:fill="D9D9D9"/>
          </w:tcPr>
          <w:p>
            <w:pPr>
              <w:pStyle w:val="TableParagraph"/>
              <w:jc w:val="left"/>
              <w:rPr>
                <w:b/>
                <w:sz w:val="31"/>
              </w:rPr>
            </w:pPr>
          </w:p>
          <w:p>
            <w:pPr>
              <w:pStyle w:val="TableParagraph"/>
              <w:ind w:left="216" w:right="212"/>
              <w:rPr>
                <w:b/>
                <w:sz w:val="24"/>
              </w:rPr>
            </w:pPr>
            <w:r>
              <w:rPr>
                <w:b/>
                <w:sz w:val="24"/>
              </w:rPr>
              <w:t>Zinc</w:t>
            </w:r>
          </w:p>
        </w:tc>
        <w:tc>
          <w:tcPr>
            <w:tcW w:w="901" w:type="dxa"/>
            <w:shd w:val="clear" w:color="auto" w:fill="D9D9D9"/>
          </w:tcPr>
          <w:p>
            <w:pPr>
              <w:pStyle w:val="TableParagraph"/>
              <w:spacing w:before="80"/>
              <w:ind w:left="133" w:right="111" w:firstLine="26"/>
              <w:jc w:val="left"/>
              <w:rPr>
                <w:b/>
                <w:sz w:val="24"/>
              </w:rPr>
            </w:pPr>
            <w:r>
              <w:rPr>
                <w:b/>
                <w:sz w:val="24"/>
              </w:rPr>
              <w:t>Total DDTs</w:t>
            </w:r>
          </w:p>
        </w:tc>
        <w:tc>
          <w:tcPr>
            <w:tcW w:w="901" w:type="dxa"/>
            <w:shd w:val="clear" w:color="auto" w:fill="D9D9D9"/>
          </w:tcPr>
          <w:p>
            <w:pPr>
              <w:pStyle w:val="TableParagraph"/>
              <w:spacing w:before="80"/>
              <w:ind w:left="125" w:right="105" w:firstLine="33"/>
              <w:jc w:val="left"/>
              <w:rPr>
                <w:b/>
                <w:sz w:val="24"/>
              </w:rPr>
            </w:pPr>
            <w:r>
              <w:rPr>
                <w:b/>
                <w:sz w:val="24"/>
              </w:rPr>
              <w:t>Total PAHs</w:t>
            </w:r>
          </w:p>
        </w:tc>
        <w:tc>
          <w:tcPr>
            <w:tcW w:w="899" w:type="dxa"/>
            <w:shd w:val="clear" w:color="auto" w:fill="D9D9D9"/>
          </w:tcPr>
          <w:p>
            <w:pPr>
              <w:pStyle w:val="TableParagraph"/>
              <w:spacing w:before="80"/>
              <w:ind w:left="123" w:right="105" w:firstLine="33"/>
              <w:jc w:val="left"/>
              <w:rPr>
                <w:b/>
                <w:sz w:val="24"/>
              </w:rPr>
            </w:pPr>
            <w:r>
              <w:rPr>
                <w:b/>
                <w:sz w:val="24"/>
              </w:rPr>
              <w:t>Total PCBs</w:t>
            </w:r>
          </w:p>
        </w:tc>
      </w:tr>
      <w:tr>
        <w:trPr>
          <w:trHeight w:val="632" w:hRule="atLeast"/>
        </w:trPr>
        <w:tc>
          <w:tcPr>
            <w:tcW w:w="3335" w:type="dxa"/>
          </w:tcPr>
          <w:p>
            <w:pPr>
              <w:pStyle w:val="TableParagraph"/>
              <w:spacing w:before="41"/>
              <w:ind w:left="346" w:right="112" w:hanging="208"/>
              <w:jc w:val="left"/>
              <w:rPr>
                <w:sz w:val="24"/>
              </w:rPr>
            </w:pPr>
            <w:r>
              <w:rPr>
                <w:sz w:val="24"/>
              </w:rPr>
              <w:t>Dominguez Channel Estuary (below Vermont Avenue)</w:t>
            </w:r>
          </w:p>
        </w:tc>
        <w:tc>
          <w:tcPr>
            <w:tcW w:w="1125" w:type="dxa"/>
          </w:tcPr>
          <w:p>
            <w:pPr>
              <w:pStyle w:val="TableParagraph"/>
              <w:spacing w:before="7"/>
              <w:jc w:val="left"/>
              <w:rPr>
                <w:b/>
                <w:sz w:val="27"/>
              </w:rPr>
            </w:pPr>
          </w:p>
          <w:p>
            <w:pPr>
              <w:pStyle w:val="TableParagraph"/>
              <w:spacing w:before="1"/>
              <w:ind w:left="121" w:right="112"/>
              <w:rPr>
                <w:sz w:val="24"/>
              </w:rPr>
            </w:pPr>
            <w:r>
              <w:rPr>
                <w:sz w:val="24"/>
              </w:rPr>
              <w:t>220</w:t>
            </w:r>
          </w:p>
        </w:tc>
        <w:tc>
          <w:tcPr>
            <w:tcW w:w="1081" w:type="dxa"/>
          </w:tcPr>
          <w:p>
            <w:pPr>
              <w:pStyle w:val="TableParagraph"/>
              <w:spacing w:before="7"/>
              <w:jc w:val="left"/>
              <w:rPr>
                <w:b/>
                <w:sz w:val="27"/>
              </w:rPr>
            </w:pPr>
          </w:p>
          <w:p>
            <w:pPr>
              <w:pStyle w:val="TableParagraph"/>
              <w:spacing w:before="1"/>
              <w:ind w:left="337"/>
              <w:jc w:val="left"/>
              <w:rPr>
                <w:sz w:val="24"/>
              </w:rPr>
            </w:pPr>
            <w:r>
              <w:rPr>
                <w:sz w:val="24"/>
              </w:rPr>
              <w:t>510</w:t>
            </w:r>
          </w:p>
        </w:tc>
        <w:tc>
          <w:tcPr>
            <w:tcW w:w="1081" w:type="dxa"/>
          </w:tcPr>
          <w:p>
            <w:pPr>
              <w:pStyle w:val="TableParagraph"/>
              <w:spacing w:before="7"/>
              <w:jc w:val="left"/>
              <w:rPr>
                <w:b/>
                <w:sz w:val="27"/>
              </w:rPr>
            </w:pPr>
          </w:p>
          <w:p>
            <w:pPr>
              <w:pStyle w:val="TableParagraph"/>
              <w:spacing w:before="1"/>
              <w:ind w:left="214" w:right="213"/>
              <w:rPr>
                <w:sz w:val="24"/>
              </w:rPr>
            </w:pPr>
            <w:r>
              <w:rPr>
                <w:sz w:val="24"/>
              </w:rPr>
              <w:t>789</w:t>
            </w:r>
          </w:p>
        </w:tc>
        <w:tc>
          <w:tcPr>
            <w:tcW w:w="901" w:type="dxa"/>
          </w:tcPr>
          <w:p>
            <w:pPr>
              <w:pStyle w:val="TableParagraph"/>
              <w:spacing w:before="7"/>
              <w:jc w:val="left"/>
              <w:rPr>
                <w:b/>
                <w:sz w:val="27"/>
              </w:rPr>
            </w:pPr>
          </w:p>
          <w:p>
            <w:pPr>
              <w:pStyle w:val="TableParagraph"/>
              <w:spacing w:before="1"/>
              <w:ind w:right="144"/>
              <w:jc w:val="right"/>
              <w:rPr>
                <w:sz w:val="24"/>
              </w:rPr>
            </w:pPr>
            <w:r>
              <w:rPr>
                <w:sz w:val="24"/>
              </w:rPr>
              <w:t>1.727</w:t>
            </w:r>
          </w:p>
        </w:tc>
        <w:tc>
          <w:tcPr>
            <w:tcW w:w="901" w:type="dxa"/>
          </w:tcPr>
          <w:p>
            <w:pPr>
              <w:pStyle w:val="TableParagraph"/>
              <w:spacing w:before="7"/>
              <w:jc w:val="left"/>
              <w:rPr>
                <w:b/>
                <w:sz w:val="27"/>
              </w:rPr>
            </w:pPr>
          </w:p>
          <w:p>
            <w:pPr>
              <w:pStyle w:val="TableParagraph"/>
              <w:spacing w:before="1"/>
              <w:ind w:left="124" w:right="125"/>
              <w:rPr>
                <w:sz w:val="24"/>
              </w:rPr>
            </w:pPr>
            <w:r>
              <w:rPr>
                <w:sz w:val="24"/>
              </w:rPr>
              <w:t>31.60</w:t>
            </w:r>
          </w:p>
        </w:tc>
        <w:tc>
          <w:tcPr>
            <w:tcW w:w="899" w:type="dxa"/>
          </w:tcPr>
          <w:p>
            <w:pPr>
              <w:pStyle w:val="TableParagraph"/>
              <w:spacing w:before="7"/>
              <w:jc w:val="left"/>
              <w:rPr>
                <w:b/>
                <w:sz w:val="27"/>
              </w:rPr>
            </w:pPr>
          </w:p>
          <w:p>
            <w:pPr>
              <w:pStyle w:val="TableParagraph"/>
              <w:spacing w:before="1"/>
              <w:ind w:left="122" w:right="125"/>
              <w:rPr>
                <w:sz w:val="24"/>
              </w:rPr>
            </w:pPr>
            <w:r>
              <w:rPr>
                <w:sz w:val="24"/>
              </w:rPr>
              <w:t>1.490</w:t>
            </w:r>
          </w:p>
        </w:tc>
      </w:tr>
      <w:tr>
        <w:trPr>
          <w:trHeight w:val="355" w:hRule="atLeast"/>
        </w:trPr>
        <w:tc>
          <w:tcPr>
            <w:tcW w:w="3335" w:type="dxa"/>
          </w:tcPr>
          <w:p>
            <w:pPr>
              <w:pStyle w:val="TableParagraph"/>
              <w:spacing w:before="41"/>
              <w:ind w:left="320"/>
              <w:jc w:val="left"/>
              <w:rPr>
                <w:sz w:val="24"/>
              </w:rPr>
            </w:pPr>
            <w:r>
              <w:rPr>
                <w:sz w:val="24"/>
              </w:rPr>
              <w:t>Long Beach Inner Harbor</w:t>
            </w:r>
          </w:p>
        </w:tc>
        <w:tc>
          <w:tcPr>
            <w:tcW w:w="1125" w:type="dxa"/>
          </w:tcPr>
          <w:p>
            <w:pPr>
              <w:pStyle w:val="TableParagraph"/>
              <w:spacing w:before="41"/>
              <w:ind w:left="121" w:right="111"/>
              <w:rPr>
                <w:sz w:val="24"/>
              </w:rPr>
            </w:pPr>
            <w:r>
              <w:rPr>
                <w:sz w:val="24"/>
              </w:rPr>
              <w:t>142.3</w:t>
            </w:r>
          </w:p>
        </w:tc>
        <w:tc>
          <w:tcPr>
            <w:tcW w:w="1081" w:type="dxa"/>
          </w:tcPr>
          <w:p>
            <w:pPr>
              <w:pStyle w:val="TableParagraph"/>
              <w:spacing w:before="41"/>
              <w:ind w:right="297"/>
              <w:jc w:val="right"/>
              <w:rPr>
                <w:sz w:val="24"/>
              </w:rPr>
            </w:pPr>
            <w:r>
              <w:rPr>
                <w:sz w:val="24"/>
              </w:rPr>
              <w:t>50.4</w:t>
            </w:r>
          </w:p>
        </w:tc>
        <w:tc>
          <w:tcPr>
            <w:tcW w:w="1081" w:type="dxa"/>
          </w:tcPr>
          <w:p>
            <w:pPr>
              <w:pStyle w:val="TableParagraph"/>
              <w:spacing w:before="41"/>
              <w:ind w:left="216" w:right="213"/>
              <w:rPr>
                <w:sz w:val="24"/>
              </w:rPr>
            </w:pPr>
            <w:r>
              <w:rPr>
                <w:sz w:val="24"/>
              </w:rPr>
              <w:t>240.6</w:t>
            </w:r>
          </w:p>
        </w:tc>
        <w:tc>
          <w:tcPr>
            <w:tcW w:w="901" w:type="dxa"/>
          </w:tcPr>
          <w:p>
            <w:pPr>
              <w:pStyle w:val="TableParagraph"/>
              <w:spacing w:before="41"/>
              <w:ind w:right="143"/>
              <w:jc w:val="right"/>
              <w:rPr>
                <w:sz w:val="24"/>
              </w:rPr>
            </w:pPr>
            <w:r>
              <w:rPr>
                <w:sz w:val="24"/>
              </w:rPr>
              <w:t>0.070</w:t>
            </w:r>
          </w:p>
        </w:tc>
        <w:tc>
          <w:tcPr>
            <w:tcW w:w="901" w:type="dxa"/>
          </w:tcPr>
          <w:p>
            <w:pPr>
              <w:pStyle w:val="TableParagraph"/>
              <w:spacing w:before="41"/>
              <w:ind w:left="124" w:right="125"/>
              <w:rPr>
                <w:sz w:val="24"/>
              </w:rPr>
            </w:pPr>
            <w:r>
              <w:rPr>
                <w:sz w:val="24"/>
              </w:rPr>
              <w:t>4.58</w:t>
            </w:r>
          </w:p>
        </w:tc>
        <w:tc>
          <w:tcPr>
            <w:tcW w:w="899" w:type="dxa"/>
          </w:tcPr>
          <w:p>
            <w:pPr>
              <w:pStyle w:val="TableParagraph"/>
              <w:spacing w:before="41"/>
              <w:ind w:left="121" w:right="125"/>
              <w:rPr>
                <w:sz w:val="24"/>
              </w:rPr>
            </w:pPr>
            <w:r>
              <w:rPr>
                <w:sz w:val="24"/>
              </w:rPr>
              <w:t>0.06</w:t>
            </w:r>
          </w:p>
        </w:tc>
      </w:tr>
    </w:tbl>
    <w:p>
      <w:pPr>
        <w:spacing w:after="0"/>
        <w:rPr>
          <w:sz w:val="24"/>
        </w:rPr>
        <w:sectPr>
          <w:pgSz w:w="12240" w:h="15840"/>
          <w:pgMar w:header="728" w:footer="788" w:top="1540" w:bottom="980" w:left="1160" w:right="420"/>
        </w:sectPr>
      </w:pPr>
    </w:p>
    <w:p>
      <w:pPr>
        <w:pStyle w:val="BodyText"/>
        <w:spacing w:before="11"/>
        <w:rPr>
          <w:b/>
          <w:sz w:val="23"/>
        </w:rPr>
      </w:pPr>
    </w:p>
    <w:tbl>
      <w:tblPr>
        <w:tblW w:w="0" w:type="auto"/>
        <w:jc w:val="left"/>
        <w:tblInd w:w="3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335"/>
        <w:gridCol w:w="1125"/>
        <w:gridCol w:w="1081"/>
        <w:gridCol w:w="1081"/>
        <w:gridCol w:w="901"/>
        <w:gridCol w:w="901"/>
        <w:gridCol w:w="899"/>
      </w:tblGrid>
      <w:tr>
        <w:trPr>
          <w:trHeight w:val="436" w:hRule="atLeast"/>
        </w:trPr>
        <w:tc>
          <w:tcPr>
            <w:tcW w:w="3335" w:type="dxa"/>
            <w:vMerge w:val="restart"/>
            <w:shd w:val="clear" w:color="auto" w:fill="D9D9D9"/>
          </w:tcPr>
          <w:p>
            <w:pPr>
              <w:pStyle w:val="TableParagraph"/>
              <w:spacing w:before="4"/>
              <w:jc w:val="left"/>
              <w:rPr>
                <w:b/>
                <w:sz w:val="38"/>
              </w:rPr>
            </w:pPr>
          </w:p>
          <w:p>
            <w:pPr>
              <w:pStyle w:val="TableParagraph"/>
              <w:spacing w:before="1"/>
              <w:ind w:left="1000"/>
              <w:jc w:val="left"/>
              <w:rPr>
                <w:b/>
                <w:sz w:val="24"/>
              </w:rPr>
            </w:pPr>
            <w:r>
              <w:rPr>
                <w:b/>
                <w:sz w:val="24"/>
              </w:rPr>
              <w:t>Water Body</w:t>
            </w:r>
          </w:p>
        </w:tc>
        <w:tc>
          <w:tcPr>
            <w:tcW w:w="5988" w:type="dxa"/>
            <w:gridSpan w:val="6"/>
            <w:shd w:val="clear" w:color="auto" w:fill="D9D9D9"/>
          </w:tcPr>
          <w:p>
            <w:pPr>
              <w:pStyle w:val="TableParagraph"/>
              <w:spacing w:before="80"/>
              <w:ind w:left="822" w:right="820"/>
              <w:rPr>
                <w:b/>
                <w:sz w:val="24"/>
              </w:rPr>
            </w:pPr>
            <w:r>
              <w:rPr>
                <w:b/>
                <w:sz w:val="24"/>
              </w:rPr>
              <w:t>Three-year Average (mg/kg sediment)</w:t>
            </w:r>
          </w:p>
        </w:tc>
      </w:tr>
      <w:tr>
        <w:trPr>
          <w:trHeight w:val="711" w:hRule="atLeast"/>
        </w:trPr>
        <w:tc>
          <w:tcPr>
            <w:tcW w:w="3335" w:type="dxa"/>
            <w:vMerge/>
            <w:tcBorders>
              <w:top w:val="nil"/>
            </w:tcBorders>
            <w:shd w:val="clear" w:color="auto" w:fill="D9D9D9"/>
          </w:tcPr>
          <w:p>
            <w:pPr>
              <w:rPr>
                <w:sz w:val="2"/>
                <w:szCs w:val="2"/>
              </w:rPr>
            </w:pPr>
          </w:p>
        </w:tc>
        <w:tc>
          <w:tcPr>
            <w:tcW w:w="1125" w:type="dxa"/>
            <w:shd w:val="clear" w:color="auto" w:fill="D9D9D9"/>
          </w:tcPr>
          <w:p>
            <w:pPr>
              <w:pStyle w:val="TableParagraph"/>
              <w:jc w:val="left"/>
              <w:rPr>
                <w:b/>
                <w:sz w:val="31"/>
              </w:rPr>
            </w:pPr>
          </w:p>
          <w:p>
            <w:pPr>
              <w:pStyle w:val="TableParagraph"/>
              <w:ind w:left="121" w:right="114"/>
              <w:rPr>
                <w:b/>
                <w:sz w:val="24"/>
              </w:rPr>
            </w:pPr>
            <w:r>
              <w:rPr>
                <w:b/>
                <w:sz w:val="24"/>
              </w:rPr>
              <w:t>Copper</w:t>
            </w:r>
          </w:p>
        </w:tc>
        <w:tc>
          <w:tcPr>
            <w:tcW w:w="1081" w:type="dxa"/>
            <w:shd w:val="clear" w:color="auto" w:fill="D9D9D9"/>
          </w:tcPr>
          <w:p>
            <w:pPr>
              <w:pStyle w:val="TableParagraph"/>
              <w:jc w:val="left"/>
              <w:rPr>
                <w:b/>
                <w:sz w:val="31"/>
              </w:rPr>
            </w:pPr>
          </w:p>
          <w:p>
            <w:pPr>
              <w:pStyle w:val="TableParagraph"/>
              <w:ind w:right="251"/>
              <w:jc w:val="right"/>
              <w:rPr>
                <w:b/>
                <w:sz w:val="24"/>
              </w:rPr>
            </w:pPr>
            <w:r>
              <w:rPr>
                <w:b/>
                <w:sz w:val="24"/>
              </w:rPr>
              <w:t>Lead</w:t>
            </w:r>
          </w:p>
        </w:tc>
        <w:tc>
          <w:tcPr>
            <w:tcW w:w="1081" w:type="dxa"/>
            <w:shd w:val="clear" w:color="auto" w:fill="D9D9D9"/>
          </w:tcPr>
          <w:p>
            <w:pPr>
              <w:pStyle w:val="TableParagraph"/>
              <w:jc w:val="left"/>
              <w:rPr>
                <w:b/>
                <w:sz w:val="31"/>
              </w:rPr>
            </w:pPr>
          </w:p>
          <w:p>
            <w:pPr>
              <w:pStyle w:val="TableParagraph"/>
              <w:ind w:left="216" w:right="212"/>
              <w:rPr>
                <w:b/>
                <w:sz w:val="24"/>
              </w:rPr>
            </w:pPr>
            <w:r>
              <w:rPr>
                <w:b/>
                <w:sz w:val="24"/>
              </w:rPr>
              <w:t>Zinc</w:t>
            </w:r>
          </w:p>
        </w:tc>
        <w:tc>
          <w:tcPr>
            <w:tcW w:w="901" w:type="dxa"/>
            <w:shd w:val="clear" w:color="auto" w:fill="D9D9D9"/>
          </w:tcPr>
          <w:p>
            <w:pPr>
              <w:pStyle w:val="TableParagraph"/>
              <w:spacing w:before="80"/>
              <w:ind w:left="133" w:right="111" w:firstLine="26"/>
              <w:jc w:val="left"/>
              <w:rPr>
                <w:b/>
                <w:sz w:val="24"/>
              </w:rPr>
            </w:pPr>
            <w:r>
              <w:rPr>
                <w:b/>
                <w:sz w:val="24"/>
              </w:rPr>
              <w:t>Total DDTs</w:t>
            </w:r>
          </w:p>
        </w:tc>
        <w:tc>
          <w:tcPr>
            <w:tcW w:w="901" w:type="dxa"/>
            <w:shd w:val="clear" w:color="auto" w:fill="D9D9D9"/>
          </w:tcPr>
          <w:p>
            <w:pPr>
              <w:pStyle w:val="TableParagraph"/>
              <w:spacing w:before="80"/>
              <w:ind w:left="125" w:right="105" w:firstLine="33"/>
              <w:jc w:val="left"/>
              <w:rPr>
                <w:b/>
                <w:sz w:val="24"/>
              </w:rPr>
            </w:pPr>
            <w:r>
              <w:rPr>
                <w:b/>
                <w:sz w:val="24"/>
              </w:rPr>
              <w:t>Total PAHs</w:t>
            </w:r>
          </w:p>
        </w:tc>
        <w:tc>
          <w:tcPr>
            <w:tcW w:w="899" w:type="dxa"/>
            <w:shd w:val="clear" w:color="auto" w:fill="D9D9D9"/>
          </w:tcPr>
          <w:p>
            <w:pPr>
              <w:pStyle w:val="TableParagraph"/>
              <w:spacing w:before="80"/>
              <w:ind w:left="123" w:right="105" w:firstLine="33"/>
              <w:jc w:val="left"/>
              <w:rPr>
                <w:b/>
                <w:sz w:val="24"/>
              </w:rPr>
            </w:pPr>
            <w:r>
              <w:rPr>
                <w:b/>
                <w:sz w:val="24"/>
              </w:rPr>
              <w:t>Total PCBs</w:t>
            </w:r>
          </w:p>
        </w:tc>
      </w:tr>
      <w:tr>
        <w:trPr>
          <w:trHeight w:val="356" w:hRule="atLeast"/>
        </w:trPr>
        <w:tc>
          <w:tcPr>
            <w:tcW w:w="3335" w:type="dxa"/>
          </w:tcPr>
          <w:p>
            <w:pPr>
              <w:pStyle w:val="TableParagraph"/>
              <w:spacing w:before="42"/>
              <w:ind w:left="280" w:right="270"/>
              <w:rPr>
                <w:sz w:val="24"/>
              </w:rPr>
            </w:pPr>
            <w:r>
              <w:rPr>
                <w:sz w:val="24"/>
              </w:rPr>
              <w:t>Los Angeles Inner Harbor</w:t>
            </w:r>
          </w:p>
        </w:tc>
        <w:tc>
          <w:tcPr>
            <w:tcW w:w="1125" w:type="dxa"/>
          </w:tcPr>
          <w:p>
            <w:pPr>
              <w:pStyle w:val="TableParagraph"/>
              <w:spacing w:before="42"/>
              <w:ind w:left="121" w:right="112"/>
              <w:rPr>
                <w:sz w:val="24"/>
              </w:rPr>
            </w:pPr>
            <w:r>
              <w:rPr>
                <w:sz w:val="24"/>
              </w:rPr>
              <w:t>154.1</w:t>
            </w:r>
          </w:p>
        </w:tc>
        <w:tc>
          <w:tcPr>
            <w:tcW w:w="1081" w:type="dxa"/>
          </w:tcPr>
          <w:p>
            <w:pPr>
              <w:pStyle w:val="TableParagraph"/>
              <w:spacing w:before="42"/>
              <w:ind w:right="230"/>
              <w:jc w:val="right"/>
              <w:rPr>
                <w:sz w:val="24"/>
              </w:rPr>
            </w:pPr>
            <w:r>
              <w:rPr>
                <w:sz w:val="24"/>
              </w:rPr>
              <w:t>145.5</w:t>
            </w:r>
          </w:p>
        </w:tc>
        <w:tc>
          <w:tcPr>
            <w:tcW w:w="1081" w:type="dxa"/>
          </w:tcPr>
          <w:p>
            <w:pPr>
              <w:pStyle w:val="TableParagraph"/>
              <w:spacing w:before="42"/>
              <w:ind w:left="215" w:right="213"/>
              <w:rPr>
                <w:sz w:val="24"/>
              </w:rPr>
            </w:pPr>
            <w:r>
              <w:rPr>
                <w:sz w:val="24"/>
              </w:rPr>
              <w:t>362</w:t>
            </w:r>
          </w:p>
        </w:tc>
        <w:tc>
          <w:tcPr>
            <w:tcW w:w="901" w:type="dxa"/>
          </w:tcPr>
          <w:p>
            <w:pPr>
              <w:pStyle w:val="TableParagraph"/>
              <w:spacing w:before="42"/>
              <w:ind w:left="145"/>
              <w:jc w:val="left"/>
              <w:rPr>
                <w:sz w:val="24"/>
              </w:rPr>
            </w:pPr>
            <w:r>
              <w:rPr>
                <w:sz w:val="24"/>
              </w:rPr>
              <w:t>0.341</w:t>
            </w:r>
          </w:p>
        </w:tc>
        <w:tc>
          <w:tcPr>
            <w:tcW w:w="901" w:type="dxa"/>
          </w:tcPr>
          <w:p>
            <w:pPr>
              <w:pStyle w:val="TableParagraph"/>
              <w:spacing w:before="42"/>
              <w:ind w:right="212"/>
              <w:jc w:val="right"/>
              <w:rPr>
                <w:sz w:val="24"/>
              </w:rPr>
            </w:pPr>
            <w:r>
              <w:rPr>
                <w:sz w:val="24"/>
              </w:rPr>
              <w:t>90.3</w:t>
            </w:r>
          </w:p>
        </w:tc>
        <w:tc>
          <w:tcPr>
            <w:tcW w:w="899" w:type="dxa"/>
          </w:tcPr>
          <w:p>
            <w:pPr>
              <w:pStyle w:val="TableParagraph"/>
              <w:spacing w:before="42"/>
              <w:ind w:left="121" w:right="125"/>
              <w:rPr>
                <w:sz w:val="24"/>
              </w:rPr>
            </w:pPr>
            <w:r>
              <w:rPr>
                <w:sz w:val="24"/>
              </w:rPr>
              <w:t>2.107</w:t>
            </w:r>
          </w:p>
        </w:tc>
      </w:tr>
      <w:tr>
        <w:trPr>
          <w:trHeight w:val="631" w:hRule="atLeast"/>
        </w:trPr>
        <w:tc>
          <w:tcPr>
            <w:tcW w:w="3335" w:type="dxa"/>
          </w:tcPr>
          <w:p>
            <w:pPr>
              <w:pStyle w:val="TableParagraph"/>
              <w:spacing w:before="41"/>
              <w:ind w:left="646" w:right="264" w:hanging="354"/>
              <w:jc w:val="left"/>
              <w:rPr>
                <w:sz w:val="24"/>
              </w:rPr>
            </w:pPr>
            <w:r>
              <w:rPr>
                <w:sz w:val="24"/>
              </w:rPr>
              <w:t>Long Beach Outer Harbor (inside breakwater)</w:t>
            </w:r>
          </w:p>
        </w:tc>
        <w:tc>
          <w:tcPr>
            <w:tcW w:w="1125" w:type="dxa"/>
          </w:tcPr>
          <w:p>
            <w:pPr>
              <w:pStyle w:val="TableParagraph"/>
              <w:spacing w:before="6"/>
              <w:jc w:val="left"/>
              <w:rPr>
                <w:b/>
                <w:sz w:val="27"/>
              </w:rPr>
            </w:pPr>
          </w:p>
          <w:p>
            <w:pPr>
              <w:pStyle w:val="TableParagraph"/>
              <w:ind w:left="121" w:right="113"/>
              <w:rPr>
                <w:sz w:val="24"/>
              </w:rPr>
            </w:pPr>
            <w:r>
              <w:rPr>
                <w:sz w:val="24"/>
              </w:rPr>
              <w:t>67.3</w:t>
            </w:r>
          </w:p>
        </w:tc>
        <w:tc>
          <w:tcPr>
            <w:tcW w:w="1081" w:type="dxa"/>
          </w:tcPr>
          <w:p>
            <w:pPr>
              <w:pStyle w:val="TableParagraph"/>
              <w:spacing w:before="6"/>
              <w:jc w:val="left"/>
              <w:rPr>
                <w:b/>
                <w:sz w:val="27"/>
              </w:rPr>
            </w:pPr>
          </w:p>
          <w:p>
            <w:pPr>
              <w:pStyle w:val="TableParagraph"/>
              <w:ind w:right="297"/>
              <w:jc w:val="right"/>
              <w:rPr>
                <w:sz w:val="24"/>
              </w:rPr>
            </w:pPr>
            <w:r>
              <w:rPr>
                <w:sz w:val="24"/>
              </w:rPr>
              <w:t>46.7</w:t>
            </w:r>
          </w:p>
        </w:tc>
        <w:tc>
          <w:tcPr>
            <w:tcW w:w="1081" w:type="dxa"/>
          </w:tcPr>
          <w:p>
            <w:pPr>
              <w:pStyle w:val="TableParagraph"/>
              <w:spacing w:before="6"/>
              <w:jc w:val="left"/>
              <w:rPr>
                <w:b/>
                <w:sz w:val="27"/>
              </w:rPr>
            </w:pPr>
          </w:p>
          <w:p>
            <w:pPr>
              <w:pStyle w:val="TableParagraph"/>
              <w:ind w:left="216" w:right="213"/>
              <w:rPr>
                <w:sz w:val="24"/>
              </w:rPr>
            </w:pPr>
            <w:r>
              <w:rPr>
                <w:sz w:val="24"/>
              </w:rPr>
              <w:t>150</w:t>
            </w:r>
          </w:p>
        </w:tc>
        <w:tc>
          <w:tcPr>
            <w:tcW w:w="901" w:type="dxa"/>
          </w:tcPr>
          <w:p>
            <w:pPr>
              <w:pStyle w:val="TableParagraph"/>
              <w:spacing w:before="6"/>
              <w:jc w:val="left"/>
              <w:rPr>
                <w:b/>
                <w:sz w:val="27"/>
              </w:rPr>
            </w:pPr>
          </w:p>
          <w:p>
            <w:pPr>
              <w:pStyle w:val="TableParagraph"/>
              <w:ind w:left="145"/>
              <w:jc w:val="left"/>
              <w:rPr>
                <w:sz w:val="24"/>
              </w:rPr>
            </w:pPr>
            <w:r>
              <w:rPr>
                <w:sz w:val="24"/>
              </w:rPr>
              <w:t>0.075</w:t>
            </w:r>
          </w:p>
        </w:tc>
        <w:tc>
          <w:tcPr>
            <w:tcW w:w="901" w:type="dxa"/>
          </w:tcPr>
          <w:p>
            <w:pPr>
              <w:pStyle w:val="TableParagraph"/>
              <w:spacing w:before="6"/>
              <w:jc w:val="left"/>
              <w:rPr>
                <w:b/>
                <w:sz w:val="27"/>
              </w:rPr>
            </w:pPr>
          </w:p>
          <w:p>
            <w:pPr>
              <w:pStyle w:val="TableParagraph"/>
              <w:ind w:right="144"/>
              <w:jc w:val="right"/>
              <w:rPr>
                <w:sz w:val="24"/>
              </w:rPr>
            </w:pPr>
            <w:r>
              <w:rPr>
                <w:sz w:val="24"/>
              </w:rPr>
              <w:t>4.022</w:t>
            </w:r>
          </w:p>
        </w:tc>
        <w:tc>
          <w:tcPr>
            <w:tcW w:w="899" w:type="dxa"/>
          </w:tcPr>
          <w:p>
            <w:pPr>
              <w:pStyle w:val="TableParagraph"/>
              <w:spacing w:before="6"/>
              <w:jc w:val="left"/>
              <w:rPr>
                <w:b/>
                <w:sz w:val="27"/>
              </w:rPr>
            </w:pPr>
          </w:p>
          <w:p>
            <w:pPr>
              <w:pStyle w:val="TableParagraph"/>
              <w:ind w:left="122" w:right="124"/>
              <w:rPr>
                <w:sz w:val="24"/>
              </w:rPr>
            </w:pPr>
            <w:r>
              <w:rPr>
                <w:sz w:val="24"/>
              </w:rPr>
              <w:t>0.248</w:t>
            </w:r>
          </w:p>
        </w:tc>
      </w:tr>
      <w:tr>
        <w:trPr>
          <w:trHeight w:val="632" w:hRule="atLeast"/>
        </w:trPr>
        <w:tc>
          <w:tcPr>
            <w:tcW w:w="3335" w:type="dxa"/>
          </w:tcPr>
          <w:p>
            <w:pPr>
              <w:pStyle w:val="TableParagraph"/>
              <w:spacing w:before="40"/>
              <w:ind w:left="646" w:right="245" w:hanging="375"/>
              <w:jc w:val="left"/>
              <w:rPr>
                <w:sz w:val="24"/>
              </w:rPr>
            </w:pPr>
            <w:r>
              <w:rPr>
                <w:sz w:val="24"/>
              </w:rPr>
              <w:t>Los Angeles Outer Harbor (inside breakwater)</w:t>
            </w:r>
          </w:p>
        </w:tc>
        <w:tc>
          <w:tcPr>
            <w:tcW w:w="1125" w:type="dxa"/>
          </w:tcPr>
          <w:p>
            <w:pPr>
              <w:pStyle w:val="TableParagraph"/>
              <w:spacing w:before="6"/>
              <w:jc w:val="left"/>
              <w:rPr>
                <w:b/>
                <w:sz w:val="27"/>
              </w:rPr>
            </w:pPr>
          </w:p>
          <w:p>
            <w:pPr>
              <w:pStyle w:val="TableParagraph"/>
              <w:ind w:left="120" w:right="114"/>
              <w:rPr>
                <w:sz w:val="24"/>
              </w:rPr>
            </w:pPr>
            <w:r>
              <w:rPr>
                <w:sz w:val="24"/>
              </w:rPr>
              <w:t>104.1</w:t>
            </w:r>
          </w:p>
        </w:tc>
        <w:tc>
          <w:tcPr>
            <w:tcW w:w="1081" w:type="dxa"/>
          </w:tcPr>
          <w:p>
            <w:pPr>
              <w:pStyle w:val="TableParagraph"/>
              <w:spacing w:before="6"/>
              <w:jc w:val="left"/>
              <w:rPr>
                <w:b/>
                <w:sz w:val="27"/>
              </w:rPr>
            </w:pPr>
          </w:p>
          <w:p>
            <w:pPr>
              <w:pStyle w:val="TableParagraph"/>
              <w:ind w:right="297"/>
              <w:jc w:val="right"/>
              <w:rPr>
                <w:sz w:val="24"/>
              </w:rPr>
            </w:pPr>
            <w:r>
              <w:rPr>
                <w:sz w:val="24"/>
              </w:rPr>
              <w:t>46.7</w:t>
            </w:r>
          </w:p>
        </w:tc>
        <w:tc>
          <w:tcPr>
            <w:tcW w:w="1081" w:type="dxa"/>
          </w:tcPr>
          <w:p>
            <w:pPr>
              <w:pStyle w:val="TableParagraph"/>
              <w:spacing w:before="6"/>
              <w:jc w:val="left"/>
              <w:rPr>
                <w:b/>
                <w:sz w:val="27"/>
              </w:rPr>
            </w:pPr>
          </w:p>
          <w:p>
            <w:pPr>
              <w:pStyle w:val="TableParagraph"/>
              <w:ind w:left="216" w:right="213"/>
              <w:rPr>
                <w:sz w:val="24"/>
              </w:rPr>
            </w:pPr>
            <w:r>
              <w:rPr>
                <w:sz w:val="24"/>
              </w:rPr>
              <w:t>150</w:t>
            </w:r>
          </w:p>
        </w:tc>
        <w:tc>
          <w:tcPr>
            <w:tcW w:w="901" w:type="dxa"/>
          </w:tcPr>
          <w:p>
            <w:pPr>
              <w:pStyle w:val="TableParagraph"/>
              <w:spacing w:before="6"/>
              <w:jc w:val="left"/>
              <w:rPr>
                <w:b/>
                <w:sz w:val="27"/>
              </w:rPr>
            </w:pPr>
          </w:p>
          <w:p>
            <w:pPr>
              <w:pStyle w:val="TableParagraph"/>
              <w:ind w:left="145"/>
              <w:jc w:val="left"/>
              <w:rPr>
                <w:sz w:val="24"/>
              </w:rPr>
            </w:pPr>
            <w:r>
              <w:rPr>
                <w:sz w:val="24"/>
              </w:rPr>
              <w:t>0.097</w:t>
            </w:r>
          </w:p>
        </w:tc>
        <w:tc>
          <w:tcPr>
            <w:tcW w:w="901" w:type="dxa"/>
          </w:tcPr>
          <w:p>
            <w:pPr>
              <w:pStyle w:val="TableParagraph"/>
              <w:spacing w:before="6"/>
              <w:jc w:val="left"/>
              <w:rPr>
                <w:b/>
                <w:sz w:val="27"/>
              </w:rPr>
            </w:pPr>
          </w:p>
          <w:p>
            <w:pPr>
              <w:pStyle w:val="TableParagraph"/>
              <w:ind w:right="144"/>
              <w:jc w:val="right"/>
              <w:rPr>
                <w:sz w:val="24"/>
              </w:rPr>
            </w:pPr>
            <w:r>
              <w:rPr>
                <w:sz w:val="24"/>
              </w:rPr>
              <w:t>4.022</w:t>
            </w:r>
          </w:p>
        </w:tc>
        <w:tc>
          <w:tcPr>
            <w:tcW w:w="899" w:type="dxa"/>
          </w:tcPr>
          <w:p>
            <w:pPr>
              <w:pStyle w:val="TableParagraph"/>
              <w:spacing w:before="6"/>
              <w:jc w:val="left"/>
              <w:rPr>
                <w:b/>
                <w:sz w:val="27"/>
              </w:rPr>
            </w:pPr>
          </w:p>
          <w:p>
            <w:pPr>
              <w:pStyle w:val="TableParagraph"/>
              <w:ind w:left="122" w:right="124"/>
              <w:rPr>
                <w:sz w:val="24"/>
              </w:rPr>
            </w:pPr>
            <w:r>
              <w:rPr>
                <w:sz w:val="24"/>
              </w:rPr>
              <w:t>0.310</w:t>
            </w:r>
          </w:p>
        </w:tc>
      </w:tr>
      <w:tr>
        <w:trPr>
          <w:trHeight w:val="632" w:hRule="atLeast"/>
        </w:trPr>
        <w:tc>
          <w:tcPr>
            <w:tcW w:w="3335" w:type="dxa"/>
          </w:tcPr>
          <w:p>
            <w:pPr>
              <w:pStyle w:val="TableParagraph"/>
              <w:spacing w:before="40"/>
              <w:ind w:left="860" w:right="477" w:hanging="354"/>
              <w:jc w:val="left"/>
              <w:rPr>
                <w:sz w:val="24"/>
              </w:rPr>
            </w:pPr>
            <w:r>
              <w:rPr>
                <w:sz w:val="24"/>
              </w:rPr>
              <w:t>Los Angeles Harbor – Cabrillo Marina</w:t>
            </w:r>
          </w:p>
        </w:tc>
        <w:tc>
          <w:tcPr>
            <w:tcW w:w="1125" w:type="dxa"/>
          </w:tcPr>
          <w:p>
            <w:pPr>
              <w:pStyle w:val="TableParagraph"/>
              <w:spacing w:before="6"/>
              <w:jc w:val="left"/>
              <w:rPr>
                <w:b/>
                <w:sz w:val="27"/>
              </w:rPr>
            </w:pPr>
          </w:p>
          <w:p>
            <w:pPr>
              <w:pStyle w:val="TableParagraph"/>
              <w:ind w:left="121" w:right="113"/>
              <w:rPr>
                <w:sz w:val="24"/>
              </w:rPr>
            </w:pPr>
            <w:r>
              <w:rPr>
                <w:sz w:val="24"/>
              </w:rPr>
              <w:t>367.6</w:t>
            </w:r>
          </w:p>
        </w:tc>
        <w:tc>
          <w:tcPr>
            <w:tcW w:w="1081" w:type="dxa"/>
          </w:tcPr>
          <w:p>
            <w:pPr>
              <w:pStyle w:val="TableParagraph"/>
              <w:spacing w:before="6"/>
              <w:jc w:val="left"/>
              <w:rPr>
                <w:b/>
                <w:sz w:val="27"/>
              </w:rPr>
            </w:pPr>
          </w:p>
          <w:p>
            <w:pPr>
              <w:pStyle w:val="TableParagraph"/>
              <w:ind w:right="296"/>
              <w:jc w:val="right"/>
              <w:rPr>
                <w:sz w:val="24"/>
              </w:rPr>
            </w:pPr>
            <w:r>
              <w:rPr>
                <w:sz w:val="24"/>
              </w:rPr>
              <w:t>72.6</w:t>
            </w:r>
          </w:p>
        </w:tc>
        <w:tc>
          <w:tcPr>
            <w:tcW w:w="1081" w:type="dxa"/>
          </w:tcPr>
          <w:p>
            <w:pPr>
              <w:pStyle w:val="TableParagraph"/>
              <w:spacing w:before="6"/>
              <w:jc w:val="left"/>
              <w:rPr>
                <w:b/>
                <w:sz w:val="27"/>
              </w:rPr>
            </w:pPr>
          </w:p>
          <w:p>
            <w:pPr>
              <w:pStyle w:val="TableParagraph"/>
              <w:ind w:left="216" w:right="212"/>
              <w:rPr>
                <w:sz w:val="24"/>
              </w:rPr>
            </w:pPr>
            <w:r>
              <w:rPr>
                <w:sz w:val="24"/>
              </w:rPr>
              <w:t>281.8</w:t>
            </w:r>
          </w:p>
        </w:tc>
        <w:tc>
          <w:tcPr>
            <w:tcW w:w="901" w:type="dxa"/>
          </w:tcPr>
          <w:p>
            <w:pPr>
              <w:pStyle w:val="TableParagraph"/>
              <w:spacing w:before="6"/>
              <w:jc w:val="left"/>
              <w:rPr>
                <w:b/>
                <w:sz w:val="27"/>
              </w:rPr>
            </w:pPr>
          </w:p>
          <w:p>
            <w:pPr>
              <w:pStyle w:val="TableParagraph"/>
              <w:ind w:left="146"/>
              <w:jc w:val="left"/>
              <w:rPr>
                <w:sz w:val="24"/>
              </w:rPr>
            </w:pPr>
            <w:r>
              <w:rPr>
                <w:sz w:val="24"/>
              </w:rPr>
              <w:t>0.186</w:t>
            </w:r>
          </w:p>
        </w:tc>
        <w:tc>
          <w:tcPr>
            <w:tcW w:w="901" w:type="dxa"/>
          </w:tcPr>
          <w:p>
            <w:pPr>
              <w:pStyle w:val="TableParagraph"/>
              <w:spacing w:before="6"/>
              <w:jc w:val="left"/>
              <w:rPr>
                <w:b/>
                <w:sz w:val="27"/>
              </w:rPr>
            </w:pPr>
          </w:p>
          <w:p>
            <w:pPr>
              <w:pStyle w:val="TableParagraph"/>
              <w:ind w:right="144"/>
              <w:jc w:val="right"/>
              <w:rPr>
                <w:sz w:val="24"/>
              </w:rPr>
            </w:pPr>
            <w:r>
              <w:rPr>
                <w:sz w:val="24"/>
              </w:rPr>
              <w:t>36.12</w:t>
            </w:r>
          </w:p>
        </w:tc>
        <w:tc>
          <w:tcPr>
            <w:tcW w:w="899" w:type="dxa"/>
          </w:tcPr>
          <w:p>
            <w:pPr>
              <w:pStyle w:val="TableParagraph"/>
              <w:spacing w:before="6"/>
              <w:jc w:val="left"/>
              <w:rPr>
                <w:b/>
                <w:sz w:val="27"/>
              </w:rPr>
            </w:pPr>
          </w:p>
          <w:p>
            <w:pPr>
              <w:pStyle w:val="TableParagraph"/>
              <w:ind w:left="122" w:right="125"/>
              <w:rPr>
                <w:sz w:val="24"/>
              </w:rPr>
            </w:pPr>
            <w:r>
              <w:rPr>
                <w:sz w:val="24"/>
              </w:rPr>
              <w:t>0.199</w:t>
            </w:r>
          </w:p>
        </w:tc>
      </w:tr>
      <w:tr>
        <w:trPr>
          <w:trHeight w:val="631" w:hRule="atLeast"/>
        </w:trPr>
        <w:tc>
          <w:tcPr>
            <w:tcW w:w="3335" w:type="dxa"/>
          </w:tcPr>
          <w:p>
            <w:pPr>
              <w:pStyle w:val="TableParagraph"/>
              <w:spacing w:before="40"/>
              <w:ind w:left="732" w:right="478" w:hanging="227"/>
              <w:jc w:val="left"/>
              <w:rPr>
                <w:sz w:val="24"/>
              </w:rPr>
            </w:pPr>
            <w:r>
              <w:rPr>
                <w:sz w:val="24"/>
              </w:rPr>
              <w:t>Los Angeles Harbor – Consolidated Slip</w:t>
            </w:r>
          </w:p>
        </w:tc>
        <w:tc>
          <w:tcPr>
            <w:tcW w:w="1125" w:type="dxa"/>
          </w:tcPr>
          <w:p>
            <w:pPr>
              <w:pStyle w:val="TableParagraph"/>
              <w:spacing w:before="6"/>
              <w:jc w:val="left"/>
              <w:rPr>
                <w:b/>
                <w:sz w:val="27"/>
              </w:rPr>
            </w:pPr>
          </w:p>
          <w:p>
            <w:pPr>
              <w:pStyle w:val="TableParagraph"/>
              <w:ind w:left="121" w:right="112"/>
              <w:rPr>
                <w:sz w:val="24"/>
              </w:rPr>
            </w:pPr>
            <w:r>
              <w:rPr>
                <w:sz w:val="24"/>
              </w:rPr>
              <w:t>1470</w:t>
            </w:r>
          </w:p>
        </w:tc>
        <w:tc>
          <w:tcPr>
            <w:tcW w:w="1081" w:type="dxa"/>
          </w:tcPr>
          <w:p>
            <w:pPr>
              <w:pStyle w:val="TableParagraph"/>
              <w:spacing w:before="6"/>
              <w:jc w:val="left"/>
              <w:rPr>
                <w:b/>
                <w:sz w:val="27"/>
              </w:rPr>
            </w:pPr>
          </w:p>
          <w:p>
            <w:pPr>
              <w:pStyle w:val="TableParagraph"/>
              <w:ind w:right="264"/>
              <w:jc w:val="right"/>
              <w:rPr>
                <w:sz w:val="24"/>
              </w:rPr>
            </w:pPr>
            <w:r>
              <w:rPr>
                <w:sz w:val="24"/>
              </w:rPr>
              <w:t>1100</w:t>
            </w:r>
          </w:p>
        </w:tc>
        <w:tc>
          <w:tcPr>
            <w:tcW w:w="1081" w:type="dxa"/>
          </w:tcPr>
          <w:p>
            <w:pPr>
              <w:pStyle w:val="TableParagraph"/>
              <w:spacing w:before="6"/>
              <w:jc w:val="left"/>
              <w:rPr>
                <w:b/>
                <w:sz w:val="27"/>
              </w:rPr>
            </w:pPr>
          </w:p>
          <w:p>
            <w:pPr>
              <w:pStyle w:val="TableParagraph"/>
              <w:ind w:left="215" w:right="213"/>
              <w:rPr>
                <w:sz w:val="24"/>
              </w:rPr>
            </w:pPr>
            <w:r>
              <w:rPr>
                <w:sz w:val="24"/>
              </w:rPr>
              <w:t>1705</w:t>
            </w:r>
          </w:p>
        </w:tc>
        <w:tc>
          <w:tcPr>
            <w:tcW w:w="901" w:type="dxa"/>
          </w:tcPr>
          <w:p>
            <w:pPr>
              <w:pStyle w:val="TableParagraph"/>
              <w:spacing w:before="6"/>
              <w:jc w:val="left"/>
              <w:rPr>
                <w:b/>
                <w:sz w:val="27"/>
              </w:rPr>
            </w:pPr>
          </w:p>
          <w:p>
            <w:pPr>
              <w:pStyle w:val="TableParagraph"/>
              <w:ind w:left="145"/>
              <w:jc w:val="left"/>
              <w:rPr>
                <w:sz w:val="24"/>
              </w:rPr>
            </w:pPr>
            <w:r>
              <w:rPr>
                <w:sz w:val="24"/>
              </w:rPr>
              <w:t>1.724</w:t>
            </w:r>
          </w:p>
        </w:tc>
        <w:tc>
          <w:tcPr>
            <w:tcW w:w="901" w:type="dxa"/>
          </w:tcPr>
          <w:p>
            <w:pPr>
              <w:pStyle w:val="TableParagraph"/>
              <w:spacing w:before="6"/>
              <w:jc w:val="left"/>
              <w:rPr>
                <w:b/>
                <w:sz w:val="27"/>
              </w:rPr>
            </w:pPr>
          </w:p>
          <w:p>
            <w:pPr>
              <w:pStyle w:val="TableParagraph"/>
              <w:ind w:right="244"/>
              <w:jc w:val="right"/>
              <w:rPr>
                <w:sz w:val="24"/>
              </w:rPr>
            </w:pPr>
            <w:r>
              <w:rPr>
                <w:sz w:val="24"/>
              </w:rPr>
              <w:t>386</w:t>
            </w:r>
          </w:p>
        </w:tc>
        <w:tc>
          <w:tcPr>
            <w:tcW w:w="899" w:type="dxa"/>
          </w:tcPr>
          <w:p>
            <w:pPr>
              <w:pStyle w:val="TableParagraph"/>
              <w:spacing w:before="6"/>
              <w:jc w:val="left"/>
              <w:rPr>
                <w:b/>
                <w:sz w:val="27"/>
              </w:rPr>
            </w:pPr>
          </w:p>
          <w:p>
            <w:pPr>
              <w:pStyle w:val="TableParagraph"/>
              <w:ind w:left="122" w:right="124"/>
              <w:rPr>
                <w:sz w:val="24"/>
              </w:rPr>
            </w:pPr>
            <w:r>
              <w:rPr>
                <w:sz w:val="24"/>
              </w:rPr>
              <w:t>1.920</w:t>
            </w:r>
          </w:p>
        </w:tc>
      </w:tr>
      <w:tr>
        <w:trPr>
          <w:trHeight w:val="632" w:hRule="atLeast"/>
        </w:trPr>
        <w:tc>
          <w:tcPr>
            <w:tcW w:w="3335" w:type="dxa"/>
          </w:tcPr>
          <w:p>
            <w:pPr>
              <w:pStyle w:val="TableParagraph"/>
              <w:spacing w:before="40"/>
              <w:ind w:left="599" w:right="171" w:hanging="401"/>
              <w:jc w:val="left"/>
              <w:rPr>
                <w:sz w:val="24"/>
              </w:rPr>
            </w:pPr>
            <w:r>
              <w:rPr>
                <w:sz w:val="24"/>
              </w:rPr>
              <w:t>Los Angeles Harbor – Inner Cabrillo Beach Area</w:t>
            </w:r>
          </w:p>
        </w:tc>
        <w:tc>
          <w:tcPr>
            <w:tcW w:w="1125" w:type="dxa"/>
          </w:tcPr>
          <w:p>
            <w:pPr>
              <w:pStyle w:val="TableParagraph"/>
              <w:spacing w:before="6"/>
              <w:jc w:val="left"/>
              <w:rPr>
                <w:b/>
                <w:sz w:val="27"/>
              </w:rPr>
            </w:pPr>
          </w:p>
          <w:p>
            <w:pPr>
              <w:pStyle w:val="TableParagraph"/>
              <w:ind w:left="121" w:right="113"/>
              <w:rPr>
                <w:sz w:val="24"/>
              </w:rPr>
            </w:pPr>
            <w:r>
              <w:rPr>
                <w:sz w:val="24"/>
              </w:rPr>
              <w:t>129.7</w:t>
            </w:r>
          </w:p>
        </w:tc>
        <w:tc>
          <w:tcPr>
            <w:tcW w:w="1081" w:type="dxa"/>
          </w:tcPr>
          <w:p>
            <w:pPr>
              <w:pStyle w:val="TableParagraph"/>
              <w:spacing w:before="6"/>
              <w:jc w:val="left"/>
              <w:rPr>
                <w:b/>
                <w:sz w:val="27"/>
              </w:rPr>
            </w:pPr>
          </w:p>
          <w:p>
            <w:pPr>
              <w:pStyle w:val="TableParagraph"/>
              <w:ind w:right="297"/>
              <w:jc w:val="right"/>
              <w:rPr>
                <w:sz w:val="24"/>
              </w:rPr>
            </w:pPr>
            <w:r>
              <w:rPr>
                <w:sz w:val="24"/>
              </w:rPr>
              <w:t>46.7</w:t>
            </w:r>
          </w:p>
        </w:tc>
        <w:tc>
          <w:tcPr>
            <w:tcW w:w="1081" w:type="dxa"/>
          </w:tcPr>
          <w:p>
            <w:pPr>
              <w:pStyle w:val="TableParagraph"/>
              <w:spacing w:before="6"/>
              <w:jc w:val="left"/>
              <w:rPr>
                <w:b/>
                <w:sz w:val="27"/>
              </w:rPr>
            </w:pPr>
          </w:p>
          <w:p>
            <w:pPr>
              <w:pStyle w:val="TableParagraph"/>
              <w:ind w:left="216" w:right="213"/>
              <w:rPr>
                <w:sz w:val="24"/>
              </w:rPr>
            </w:pPr>
            <w:r>
              <w:rPr>
                <w:sz w:val="24"/>
              </w:rPr>
              <w:t>163.1</w:t>
            </w:r>
          </w:p>
        </w:tc>
        <w:tc>
          <w:tcPr>
            <w:tcW w:w="901" w:type="dxa"/>
          </w:tcPr>
          <w:p>
            <w:pPr>
              <w:pStyle w:val="TableParagraph"/>
              <w:spacing w:before="6"/>
              <w:jc w:val="left"/>
              <w:rPr>
                <w:b/>
                <w:sz w:val="27"/>
              </w:rPr>
            </w:pPr>
          </w:p>
          <w:p>
            <w:pPr>
              <w:pStyle w:val="TableParagraph"/>
              <w:ind w:left="146"/>
              <w:jc w:val="left"/>
              <w:rPr>
                <w:sz w:val="24"/>
              </w:rPr>
            </w:pPr>
            <w:r>
              <w:rPr>
                <w:sz w:val="24"/>
              </w:rPr>
              <w:t>0.145</w:t>
            </w:r>
          </w:p>
        </w:tc>
        <w:tc>
          <w:tcPr>
            <w:tcW w:w="901" w:type="dxa"/>
          </w:tcPr>
          <w:p>
            <w:pPr>
              <w:pStyle w:val="TableParagraph"/>
              <w:spacing w:before="6"/>
              <w:jc w:val="left"/>
              <w:rPr>
                <w:b/>
                <w:sz w:val="27"/>
              </w:rPr>
            </w:pPr>
          </w:p>
          <w:p>
            <w:pPr>
              <w:pStyle w:val="TableParagraph"/>
              <w:ind w:right="144"/>
              <w:jc w:val="right"/>
              <w:rPr>
                <w:sz w:val="24"/>
              </w:rPr>
            </w:pPr>
            <w:r>
              <w:rPr>
                <w:sz w:val="24"/>
              </w:rPr>
              <w:t>4.022</w:t>
            </w:r>
          </w:p>
        </w:tc>
        <w:tc>
          <w:tcPr>
            <w:tcW w:w="899" w:type="dxa"/>
          </w:tcPr>
          <w:p>
            <w:pPr>
              <w:pStyle w:val="TableParagraph"/>
              <w:spacing w:before="6"/>
              <w:jc w:val="left"/>
              <w:rPr>
                <w:b/>
                <w:sz w:val="27"/>
              </w:rPr>
            </w:pPr>
          </w:p>
          <w:p>
            <w:pPr>
              <w:pStyle w:val="TableParagraph"/>
              <w:ind w:left="122" w:right="125"/>
              <w:rPr>
                <w:sz w:val="24"/>
              </w:rPr>
            </w:pPr>
            <w:r>
              <w:rPr>
                <w:sz w:val="24"/>
              </w:rPr>
              <w:t>0.033</w:t>
            </w:r>
          </w:p>
        </w:tc>
      </w:tr>
      <w:tr>
        <w:trPr>
          <w:trHeight w:val="355" w:hRule="atLeast"/>
        </w:trPr>
        <w:tc>
          <w:tcPr>
            <w:tcW w:w="3335" w:type="dxa"/>
          </w:tcPr>
          <w:p>
            <w:pPr>
              <w:pStyle w:val="TableParagraph"/>
              <w:spacing w:before="41"/>
              <w:ind w:left="278" w:right="270"/>
              <w:rPr>
                <w:sz w:val="24"/>
              </w:rPr>
            </w:pPr>
            <w:r>
              <w:rPr>
                <w:sz w:val="24"/>
              </w:rPr>
              <w:t>Fish Harbor</w:t>
            </w:r>
          </w:p>
        </w:tc>
        <w:tc>
          <w:tcPr>
            <w:tcW w:w="1125" w:type="dxa"/>
          </w:tcPr>
          <w:p>
            <w:pPr>
              <w:pStyle w:val="TableParagraph"/>
              <w:spacing w:before="41"/>
              <w:ind w:left="121" w:right="113"/>
              <w:rPr>
                <w:sz w:val="24"/>
              </w:rPr>
            </w:pPr>
            <w:r>
              <w:rPr>
                <w:sz w:val="24"/>
              </w:rPr>
              <w:t>558.6</w:t>
            </w:r>
          </w:p>
        </w:tc>
        <w:tc>
          <w:tcPr>
            <w:tcW w:w="1081" w:type="dxa"/>
          </w:tcPr>
          <w:p>
            <w:pPr>
              <w:pStyle w:val="TableParagraph"/>
              <w:spacing w:before="41"/>
              <w:ind w:right="230"/>
              <w:jc w:val="right"/>
              <w:rPr>
                <w:sz w:val="24"/>
              </w:rPr>
            </w:pPr>
            <w:r>
              <w:rPr>
                <w:sz w:val="24"/>
              </w:rPr>
              <w:t>116.5</w:t>
            </w:r>
          </w:p>
        </w:tc>
        <w:tc>
          <w:tcPr>
            <w:tcW w:w="1081" w:type="dxa"/>
          </w:tcPr>
          <w:p>
            <w:pPr>
              <w:pStyle w:val="TableParagraph"/>
              <w:spacing w:before="41"/>
              <w:ind w:left="216" w:right="213"/>
              <w:rPr>
                <w:sz w:val="24"/>
              </w:rPr>
            </w:pPr>
            <w:r>
              <w:rPr>
                <w:sz w:val="24"/>
              </w:rPr>
              <w:t>430.5</w:t>
            </w:r>
          </w:p>
        </w:tc>
        <w:tc>
          <w:tcPr>
            <w:tcW w:w="901" w:type="dxa"/>
          </w:tcPr>
          <w:p>
            <w:pPr>
              <w:pStyle w:val="TableParagraph"/>
              <w:spacing w:before="41"/>
              <w:ind w:left="212"/>
              <w:jc w:val="left"/>
              <w:rPr>
                <w:sz w:val="24"/>
              </w:rPr>
            </w:pPr>
            <w:r>
              <w:rPr>
                <w:sz w:val="24"/>
              </w:rPr>
              <w:t>40.5</w:t>
            </w:r>
          </w:p>
        </w:tc>
        <w:tc>
          <w:tcPr>
            <w:tcW w:w="901" w:type="dxa"/>
          </w:tcPr>
          <w:p>
            <w:pPr>
              <w:pStyle w:val="TableParagraph"/>
              <w:spacing w:before="41"/>
              <w:ind w:right="178"/>
              <w:jc w:val="right"/>
              <w:rPr>
                <w:sz w:val="24"/>
              </w:rPr>
            </w:pPr>
            <w:r>
              <w:rPr>
                <w:sz w:val="24"/>
              </w:rPr>
              <w:t>2103</w:t>
            </w:r>
          </w:p>
        </w:tc>
        <w:tc>
          <w:tcPr>
            <w:tcW w:w="899" w:type="dxa"/>
          </w:tcPr>
          <w:p>
            <w:pPr>
              <w:pStyle w:val="TableParagraph"/>
              <w:spacing w:before="41"/>
              <w:ind w:left="121" w:right="125"/>
              <w:rPr>
                <w:sz w:val="24"/>
              </w:rPr>
            </w:pPr>
            <w:r>
              <w:rPr>
                <w:sz w:val="24"/>
              </w:rPr>
              <w:t>36.6</w:t>
            </w:r>
          </w:p>
        </w:tc>
      </w:tr>
      <w:tr>
        <w:trPr>
          <w:trHeight w:val="1080" w:hRule="atLeast"/>
        </w:trPr>
        <w:tc>
          <w:tcPr>
            <w:tcW w:w="9323" w:type="dxa"/>
            <w:gridSpan w:val="7"/>
          </w:tcPr>
          <w:p>
            <w:pPr>
              <w:pStyle w:val="TableParagraph"/>
              <w:spacing w:before="60"/>
              <w:ind w:left="107"/>
              <w:jc w:val="left"/>
              <w:rPr>
                <w:sz w:val="20"/>
              </w:rPr>
            </w:pPr>
            <w:r>
              <w:rPr>
                <w:sz w:val="20"/>
                <w:u w:val="single"/>
              </w:rPr>
              <w:t>Table Note</w:t>
            </w:r>
          </w:p>
          <w:p>
            <w:pPr>
              <w:pStyle w:val="TableParagraph"/>
              <w:spacing w:before="61"/>
              <w:ind w:left="107" w:right="326"/>
              <w:jc w:val="left"/>
              <w:rPr>
                <w:sz w:val="20"/>
              </w:rPr>
            </w:pPr>
            <w:r>
              <w:rPr>
                <w:sz w:val="20"/>
              </w:rPr>
              <w:t>See section 2.2.2.2.6 of Attachment E – Monitoring and Reporting Program for an alternative procedure where collection of suspended sediment from stormwater samples with sufficient yields to perform analysis required is not feasible.</w:t>
            </w:r>
          </w:p>
        </w:tc>
      </w:tr>
    </w:tbl>
    <w:p>
      <w:pPr>
        <w:pStyle w:val="BodyText"/>
        <w:rPr>
          <w:b/>
          <w:sz w:val="20"/>
        </w:rPr>
      </w:pPr>
    </w:p>
    <w:p>
      <w:pPr>
        <w:pStyle w:val="BodyText"/>
        <w:spacing w:before="10"/>
        <w:rPr>
          <w:b/>
          <w:sz w:val="16"/>
        </w:rPr>
      </w:pPr>
    </w:p>
    <w:p>
      <w:pPr>
        <w:spacing w:before="92"/>
        <w:ind w:left="280" w:right="2318" w:firstLine="0"/>
        <w:jc w:val="left"/>
        <w:rPr>
          <w:b/>
          <w:sz w:val="24"/>
        </w:rPr>
      </w:pPr>
      <w:r>
        <w:rPr>
          <w:b/>
          <w:sz w:val="24"/>
        </w:rPr>
        <w:t>Table 3. Effluent Limitations Applicable to Specific Waterbodies by the compliance deadline noted in the table</w:t>
      </w:r>
    </w:p>
    <w:p>
      <w:pPr>
        <w:pStyle w:val="BodyText"/>
        <w:spacing w:before="10"/>
        <w:rPr>
          <w:b/>
          <w:sz w:val="20"/>
        </w:rPr>
      </w:pPr>
    </w:p>
    <w:tbl>
      <w:tblPr>
        <w:tblW w:w="0" w:type="auto"/>
        <w:jc w:val="left"/>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35"/>
        <w:gridCol w:w="810"/>
        <w:gridCol w:w="720"/>
        <w:gridCol w:w="720"/>
        <w:gridCol w:w="720"/>
        <w:gridCol w:w="1170"/>
        <w:gridCol w:w="720"/>
        <w:gridCol w:w="900"/>
        <w:gridCol w:w="720"/>
        <w:gridCol w:w="990"/>
        <w:gridCol w:w="1350"/>
      </w:tblGrid>
      <w:tr>
        <w:trPr>
          <w:trHeight w:val="780" w:hRule="atLeast"/>
        </w:trPr>
        <w:tc>
          <w:tcPr>
            <w:tcW w:w="1435" w:type="dxa"/>
            <w:shd w:val="clear" w:color="auto" w:fill="D9D9D9"/>
          </w:tcPr>
          <w:p>
            <w:pPr>
              <w:pStyle w:val="TableParagraph"/>
              <w:spacing w:before="80"/>
              <w:ind w:left="251"/>
              <w:jc w:val="left"/>
              <w:rPr>
                <w:b/>
                <w:sz w:val="18"/>
              </w:rPr>
            </w:pPr>
            <w:r>
              <w:rPr>
                <w:b/>
                <w:sz w:val="18"/>
              </w:rPr>
              <w:t>Waterbody</w:t>
            </w:r>
          </w:p>
        </w:tc>
        <w:tc>
          <w:tcPr>
            <w:tcW w:w="810" w:type="dxa"/>
            <w:shd w:val="clear" w:color="auto" w:fill="D9D9D9"/>
          </w:tcPr>
          <w:p>
            <w:pPr>
              <w:pStyle w:val="TableParagraph"/>
              <w:spacing w:before="79"/>
              <w:ind w:left="124" w:right="111"/>
              <w:rPr>
                <w:b/>
                <w:sz w:val="18"/>
              </w:rPr>
            </w:pPr>
            <w:r>
              <w:rPr>
                <w:b/>
                <w:sz w:val="18"/>
              </w:rPr>
              <w:t>Coppe r    (µg/L)</w:t>
            </w:r>
          </w:p>
        </w:tc>
        <w:tc>
          <w:tcPr>
            <w:tcW w:w="720" w:type="dxa"/>
            <w:shd w:val="clear" w:color="auto" w:fill="D9D9D9"/>
          </w:tcPr>
          <w:p>
            <w:pPr>
              <w:pStyle w:val="TableParagraph"/>
              <w:spacing w:before="79"/>
              <w:ind w:left="112" w:right="84" w:firstLine="37"/>
              <w:jc w:val="left"/>
              <w:rPr>
                <w:b/>
                <w:sz w:val="18"/>
              </w:rPr>
            </w:pPr>
            <w:r>
              <w:rPr>
                <w:b/>
                <w:sz w:val="18"/>
              </w:rPr>
              <w:t>Lead (µg/L)</w:t>
            </w:r>
          </w:p>
        </w:tc>
        <w:tc>
          <w:tcPr>
            <w:tcW w:w="720" w:type="dxa"/>
            <w:shd w:val="clear" w:color="auto" w:fill="D9D9D9"/>
          </w:tcPr>
          <w:p>
            <w:pPr>
              <w:pStyle w:val="TableParagraph"/>
              <w:spacing w:before="79"/>
              <w:ind w:left="112" w:right="84" w:firstLine="61"/>
              <w:jc w:val="left"/>
              <w:rPr>
                <w:b/>
                <w:sz w:val="18"/>
              </w:rPr>
            </w:pPr>
            <w:r>
              <w:rPr>
                <w:b/>
                <w:sz w:val="18"/>
              </w:rPr>
              <w:t>Zinc (µg/L)</w:t>
            </w:r>
          </w:p>
        </w:tc>
        <w:tc>
          <w:tcPr>
            <w:tcW w:w="720" w:type="dxa"/>
            <w:shd w:val="clear" w:color="auto" w:fill="D9D9D9"/>
          </w:tcPr>
          <w:p>
            <w:pPr>
              <w:pStyle w:val="TableParagraph"/>
              <w:spacing w:before="79"/>
              <w:ind w:left="120"/>
              <w:jc w:val="left"/>
              <w:rPr>
                <w:b/>
                <w:sz w:val="18"/>
              </w:rPr>
            </w:pPr>
            <w:r>
              <w:rPr>
                <w:b/>
                <w:sz w:val="18"/>
              </w:rPr>
              <w:t>PAHs</w:t>
            </w:r>
          </w:p>
          <w:p>
            <w:pPr>
              <w:pStyle w:val="TableParagraph"/>
              <w:spacing w:before="1"/>
              <w:ind w:left="112"/>
              <w:jc w:val="left"/>
              <w:rPr>
                <w:b/>
                <w:sz w:val="18"/>
              </w:rPr>
            </w:pPr>
            <w:r>
              <w:rPr>
                <w:b/>
                <w:sz w:val="18"/>
              </w:rPr>
              <w:t>(µg/L)</w:t>
            </w:r>
          </w:p>
        </w:tc>
        <w:tc>
          <w:tcPr>
            <w:tcW w:w="1170" w:type="dxa"/>
            <w:shd w:val="clear" w:color="auto" w:fill="D9D9D9"/>
          </w:tcPr>
          <w:p>
            <w:pPr>
              <w:pStyle w:val="TableParagraph"/>
              <w:spacing w:before="79"/>
              <w:ind w:left="338" w:right="111" w:hanging="200"/>
              <w:jc w:val="left"/>
              <w:rPr>
                <w:b/>
                <w:sz w:val="18"/>
              </w:rPr>
            </w:pPr>
            <w:r>
              <w:rPr>
                <w:b/>
                <w:sz w:val="18"/>
              </w:rPr>
              <w:t>Chlordane (µg/L)</w:t>
            </w:r>
          </w:p>
        </w:tc>
        <w:tc>
          <w:tcPr>
            <w:tcW w:w="720" w:type="dxa"/>
            <w:shd w:val="clear" w:color="auto" w:fill="D9D9D9"/>
          </w:tcPr>
          <w:p>
            <w:pPr>
              <w:pStyle w:val="TableParagraph"/>
              <w:spacing w:before="79"/>
              <w:ind w:left="173" w:right="147" w:firstLine="6"/>
              <w:jc w:val="left"/>
              <w:rPr>
                <w:b/>
                <w:sz w:val="18"/>
              </w:rPr>
            </w:pPr>
            <w:r>
              <w:rPr>
                <w:b/>
                <w:sz w:val="18"/>
              </w:rPr>
              <w:t>4,4’- DDT</w:t>
            </w:r>
          </w:p>
          <w:p>
            <w:pPr>
              <w:pStyle w:val="TableParagraph"/>
              <w:ind w:left="112"/>
              <w:jc w:val="left"/>
              <w:rPr>
                <w:b/>
                <w:sz w:val="18"/>
              </w:rPr>
            </w:pPr>
            <w:r>
              <w:rPr>
                <w:b/>
                <w:sz w:val="18"/>
              </w:rPr>
              <w:t>(µg/L)</w:t>
            </w:r>
          </w:p>
        </w:tc>
        <w:tc>
          <w:tcPr>
            <w:tcW w:w="900" w:type="dxa"/>
            <w:shd w:val="clear" w:color="auto" w:fill="D9D9D9"/>
          </w:tcPr>
          <w:p>
            <w:pPr>
              <w:pStyle w:val="TableParagraph"/>
              <w:spacing w:before="79"/>
              <w:ind w:left="202" w:right="86" w:hanging="89"/>
              <w:jc w:val="left"/>
              <w:rPr>
                <w:b/>
                <w:sz w:val="18"/>
              </w:rPr>
            </w:pPr>
            <w:r>
              <w:rPr>
                <w:b/>
                <w:sz w:val="18"/>
              </w:rPr>
              <w:t>Dieldrin (µg/L)</w:t>
            </w:r>
          </w:p>
        </w:tc>
        <w:tc>
          <w:tcPr>
            <w:tcW w:w="720" w:type="dxa"/>
            <w:shd w:val="clear" w:color="auto" w:fill="D9D9D9"/>
          </w:tcPr>
          <w:p>
            <w:pPr>
              <w:pStyle w:val="TableParagraph"/>
              <w:spacing w:before="79"/>
              <w:ind w:left="120" w:right="93" w:firstLine="24"/>
              <w:jc w:val="left"/>
              <w:rPr>
                <w:b/>
                <w:sz w:val="18"/>
              </w:rPr>
            </w:pPr>
            <w:r>
              <w:rPr>
                <w:b/>
                <w:sz w:val="18"/>
              </w:rPr>
              <w:t>Total </w:t>
            </w:r>
            <w:r>
              <w:rPr>
                <w:b/>
                <w:spacing w:val="-1"/>
                <w:sz w:val="18"/>
              </w:rPr>
              <w:t>PCBs</w:t>
            </w:r>
          </w:p>
          <w:p>
            <w:pPr>
              <w:pStyle w:val="TableParagraph"/>
              <w:ind w:left="112"/>
              <w:jc w:val="left"/>
              <w:rPr>
                <w:b/>
                <w:sz w:val="18"/>
              </w:rPr>
            </w:pPr>
            <w:r>
              <w:rPr>
                <w:b/>
                <w:sz w:val="18"/>
              </w:rPr>
              <w:t>(µg/L)</w:t>
            </w:r>
          </w:p>
        </w:tc>
        <w:tc>
          <w:tcPr>
            <w:tcW w:w="990" w:type="dxa"/>
            <w:shd w:val="clear" w:color="auto" w:fill="D9D9D9"/>
          </w:tcPr>
          <w:p>
            <w:pPr>
              <w:pStyle w:val="TableParagraph"/>
              <w:spacing w:before="79"/>
              <w:ind w:left="265" w:right="125" w:hanging="111"/>
              <w:jc w:val="left"/>
              <w:rPr>
                <w:b/>
                <w:sz w:val="18"/>
              </w:rPr>
            </w:pPr>
            <w:r>
              <w:rPr>
                <w:b/>
                <w:sz w:val="18"/>
              </w:rPr>
              <w:t>Toxicity (TUc)</w:t>
            </w:r>
          </w:p>
        </w:tc>
        <w:tc>
          <w:tcPr>
            <w:tcW w:w="1350" w:type="dxa"/>
            <w:vMerge w:val="restart"/>
            <w:shd w:val="clear" w:color="auto" w:fill="D9D9D9"/>
          </w:tcPr>
          <w:p>
            <w:pPr>
              <w:pStyle w:val="TableParagraph"/>
              <w:jc w:val="left"/>
              <w:rPr>
                <w:b/>
                <w:sz w:val="20"/>
              </w:rPr>
            </w:pPr>
          </w:p>
          <w:p>
            <w:pPr>
              <w:pStyle w:val="TableParagraph"/>
              <w:spacing w:before="2"/>
              <w:jc w:val="left"/>
              <w:rPr>
                <w:b/>
                <w:sz w:val="21"/>
              </w:rPr>
            </w:pPr>
          </w:p>
          <w:p>
            <w:pPr>
              <w:pStyle w:val="TableParagraph"/>
              <w:ind w:left="479" w:right="136" w:hanging="316"/>
              <w:jc w:val="left"/>
              <w:rPr>
                <w:b/>
                <w:sz w:val="18"/>
              </w:rPr>
            </w:pPr>
            <w:r>
              <w:rPr>
                <w:b/>
                <w:sz w:val="18"/>
              </w:rPr>
              <w:t>Compliance Date</w:t>
            </w:r>
          </w:p>
        </w:tc>
      </w:tr>
      <w:tr>
        <w:trPr>
          <w:trHeight w:val="573" w:hRule="atLeast"/>
        </w:trPr>
        <w:tc>
          <w:tcPr>
            <w:tcW w:w="1435" w:type="dxa"/>
            <w:shd w:val="clear" w:color="auto" w:fill="D9D9D9"/>
          </w:tcPr>
          <w:p>
            <w:pPr>
              <w:pStyle w:val="TableParagraph"/>
              <w:spacing w:before="79"/>
              <w:ind w:left="436" w:right="248" w:hanging="160"/>
              <w:jc w:val="left"/>
              <w:rPr>
                <w:b/>
                <w:sz w:val="18"/>
              </w:rPr>
            </w:pPr>
            <w:r>
              <w:rPr>
                <w:b/>
                <w:sz w:val="18"/>
              </w:rPr>
              <w:t>Averaging Period</w:t>
            </w:r>
          </w:p>
        </w:tc>
        <w:tc>
          <w:tcPr>
            <w:tcW w:w="6480" w:type="dxa"/>
            <w:gridSpan w:val="8"/>
            <w:shd w:val="clear" w:color="auto" w:fill="D9D9D9"/>
          </w:tcPr>
          <w:p>
            <w:pPr>
              <w:pStyle w:val="TableParagraph"/>
              <w:spacing w:before="11"/>
              <w:jc w:val="left"/>
              <w:rPr>
                <w:b/>
                <w:sz w:val="15"/>
              </w:rPr>
            </w:pPr>
          </w:p>
          <w:p>
            <w:pPr>
              <w:pStyle w:val="TableParagraph"/>
              <w:ind w:left="2169" w:right="2159"/>
              <w:rPr>
                <w:b/>
                <w:sz w:val="18"/>
              </w:rPr>
            </w:pPr>
            <w:r>
              <w:rPr>
                <w:b/>
                <w:sz w:val="18"/>
              </w:rPr>
              <w:t>Instantaneous Maximum</w:t>
            </w:r>
          </w:p>
        </w:tc>
        <w:tc>
          <w:tcPr>
            <w:tcW w:w="990" w:type="dxa"/>
            <w:shd w:val="clear" w:color="auto" w:fill="D9D9D9"/>
          </w:tcPr>
          <w:p>
            <w:pPr>
              <w:pStyle w:val="TableParagraph"/>
              <w:spacing w:before="79"/>
              <w:ind w:left="184" w:right="121" w:hanging="35"/>
              <w:jc w:val="left"/>
              <w:rPr>
                <w:b/>
                <w:sz w:val="18"/>
              </w:rPr>
            </w:pPr>
            <w:r>
              <w:rPr>
                <w:b/>
                <w:sz w:val="18"/>
              </w:rPr>
              <w:t>Monthly Median</w:t>
            </w:r>
          </w:p>
        </w:tc>
        <w:tc>
          <w:tcPr>
            <w:tcW w:w="1350" w:type="dxa"/>
            <w:vMerge/>
            <w:tcBorders>
              <w:top w:val="nil"/>
            </w:tcBorders>
            <w:shd w:val="clear" w:color="auto" w:fill="D9D9D9"/>
          </w:tcPr>
          <w:p>
            <w:pPr>
              <w:rPr>
                <w:sz w:val="2"/>
                <w:szCs w:val="2"/>
              </w:rPr>
            </w:pPr>
          </w:p>
        </w:tc>
      </w:tr>
      <w:tr>
        <w:trPr>
          <w:trHeight w:val="493" w:hRule="atLeast"/>
        </w:trPr>
        <w:tc>
          <w:tcPr>
            <w:tcW w:w="1435" w:type="dxa"/>
          </w:tcPr>
          <w:p>
            <w:pPr>
              <w:pStyle w:val="TableParagraph"/>
              <w:spacing w:before="39"/>
              <w:ind w:left="381" w:right="202" w:hanging="149"/>
              <w:jc w:val="left"/>
              <w:rPr>
                <w:sz w:val="18"/>
              </w:rPr>
            </w:pPr>
            <w:r>
              <w:rPr>
                <w:sz w:val="18"/>
              </w:rPr>
              <w:t>Los Cerritos Channel</w:t>
            </w:r>
          </w:p>
        </w:tc>
        <w:tc>
          <w:tcPr>
            <w:tcW w:w="810" w:type="dxa"/>
          </w:tcPr>
          <w:p>
            <w:pPr>
              <w:pStyle w:val="TableParagraph"/>
              <w:spacing w:before="41"/>
              <w:ind w:left="208" w:right="199"/>
              <w:rPr>
                <w:sz w:val="18"/>
              </w:rPr>
            </w:pPr>
            <w:r>
              <w:rPr>
                <w:sz w:val="18"/>
              </w:rPr>
              <w:t>7.6</w:t>
            </w:r>
          </w:p>
        </w:tc>
        <w:tc>
          <w:tcPr>
            <w:tcW w:w="720" w:type="dxa"/>
          </w:tcPr>
          <w:p>
            <w:pPr>
              <w:pStyle w:val="TableParagraph"/>
              <w:spacing w:before="41"/>
              <w:ind w:left="111" w:right="102"/>
              <w:rPr>
                <w:sz w:val="18"/>
              </w:rPr>
            </w:pPr>
            <w:r>
              <w:rPr>
                <w:sz w:val="18"/>
              </w:rPr>
              <w:t>43.4</w:t>
            </w:r>
          </w:p>
        </w:tc>
        <w:tc>
          <w:tcPr>
            <w:tcW w:w="720" w:type="dxa"/>
          </w:tcPr>
          <w:p>
            <w:pPr>
              <w:pStyle w:val="TableParagraph"/>
              <w:spacing w:before="41"/>
              <w:ind w:left="111" w:right="101"/>
              <w:rPr>
                <w:sz w:val="18"/>
              </w:rPr>
            </w:pPr>
            <w:r>
              <w:rPr>
                <w:sz w:val="18"/>
              </w:rPr>
              <w:t>74.4</w:t>
            </w:r>
          </w:p>
        </w:tc>
        <w:tc>
          <w:tcPr>
            <w:tcW w:w="720" w:type="dxa"/>
          </w:tcPr>
          <w:p>
            <w:pPr>
              <w:pStyle w:val="TableParagraph"/>
              <w:spacing w:before="41"/>
              <w:ind w:left="111" w:right="101"/>
              <w:rPr>
                <w:sz w:val="18"/>
              </w:rPr>
            </w:pPr>
            <w:r>
              <w:rPr>
                <w:sz w:val="18"/>
              </w:rPr>
              <w:t>--</w:t>
            </w:r>
          </w:p>
        </w:tc>
        <w:tc>
          <w:tcPr>
            <w:tcW w:w="1170" w:type="dxa"/>
          </w:tcPr>
          <w:p>
            <w:pPr>
              <w:pStyle w:val="TableParagraph"/>
              <w:spacing w:before="41"/>
              <w:ind w:left="238" w:right="229"/>
              <w:rPr>
                <w:sz w:val="18"/>
              </w:rPr>
            </w:pPr>
            <w:r>
              <w:rPr>
                <w:sz w:val="18"/>
              </w:rPr>
              <w:t>--</w:t>
            </w:r>
          </w:p>
        </w:tc>
        <w:tc>
          <w:tcPr>
            <w:tcW w:w="720" w:type="dxa"/>
          </w:tcPr>
          <w:p>
            <w:pPr>
              <w:pStyle w:val="TableParagraph"/>
              <w:spacing w:before="41"/>
              <w:ind w:left="111" w:right="100"/>
              <w:rPr>
                <w:sz w:val="18"/>
              </w:rPr>
            </w:pPr>
            <w:r>
              <w:rPr>
                <w:sz w:val="18"/>
              </w:rPr>
              <w:t>--</w:t>
            </w:r>
          </w:p>
        </w:tc>
        <w:tc>
          <w:tcPr>
            <w:tcW w:w="900" w:type="dxa"/>
          </w:tcPr>
          <w:p>
            <w:pPr>
              <w:pStyle w:val="TableParagraph"/>
              <w:spacing w:before="41"/>
              <w:ind w:left="103" w:right="92"/>
              <w:rPr>
                <w:sz w:val="18"/>
              </w:rPr>
            </w:pPr>
            <w:r>
              <w:rPr>
                <w:sz w:val="18"/>
              </w:rPr>
              <w:t>--</w:t>
            </w:r>
          </w:p>
        </w:tc>
        <w:tc>
          <w:tcPr>
            <w:tcW w:w="720" w:type="dxa"/>
          </w:tcPr>
          <w:p>
            <w:pPr>
              <w:pStyle w:val="TableParagraph"/>
              <w:spacing w:before="41"/>
              <w:ind w:left="111" w:right="100"/>
              <w:rPr>
                <w:sz w:val="18"/>
              </w:rPr>
            </w:pPr>
            <w:r>
              <w:rPr>
                <w:sz w:val="18"/>
              </w:rPr>
              <w:t>--</w:t>
            </w:r>
          </w:p>
        </w:tc>
        <w:tc>
          <w:tcPr>
            <w:tcW w:w="990" w:type="dxa"/>
          </w:tcPr>
          <w:p>
            <w:pPr>
              <w:pStyle w:val="TableParagraph"/>
              <w:spacing w:before="41"/>
              <w:ind w:left="315" w:right="305"/>
              <w:rPr>
                <w:sz w:val="18"/>
              </w:rPr>
            </w:pPr>
            <w:r>
              <w:rPr>
                <w:sz w:val="18"/>
              </w:rPr>
              <w:t>--</w:t>
            </w:r>
          </w:p>
        </w:tc>
        <w:tc>
          <w:tcPr>
            <w:tcW w:w="1350" w:type="dxa"/>
          </w:tcPr>
          <w:p>
            <w:pPr>
              <w:pStyle w:val="TableParagraph"/>
              <w:spacing w:before="39"/>
              <w:ind w:left="324" w:right="204" w:hanging="89"/>
              <w:jc w:val="left"/>
              <w:rPr>
                <w:sz w:val="18"/>
              </w:rPr>
            </w:pPr>
            <w:r>
              <w:rPr>
                <w:sz w:val="18"/>
              </w:rPr>
              <w:t>September 30, 2026</w:t>
            </w:r>
          </w:p>
        </w:tc>
      </w:tr>
      <w:tr>
        <w:trPr>
          <w:trHeight w:val="1115" w:hRule="atLeast"/>
        </w:trPr>
        <w:tc>
          <w:tcPr>
            <w:tcW w:w="1435" w:type="dxa"/>
          </w:tcPr>
          <w:p>
            <w:pPr>
              <w:pStyle w:val="TableParagraph"/>
              <w:spacing w:before="39"/>
              <w:ind w:left="196" w:right="185"/>
              <w:rPr>
                <w:sz w:val="18"/>
              </w:rPr>
            </w:pPr>
            <w:r>
              <w:rPr>
                <w:sz w:val="18"/>
              </w:rPr>
              <w:t>Dominguez Channel (above Vermont Avenue)</w:t>
            </w:r>
          </w:p>
        </w:tc>
        <w:tc>
          <w:tcPr>
            <w:tcW w:w="810" w:type="dxa"/>
          </w:tcPr>
          <w:p>
            <w:pPr>
              <w:pStyle w:val="TableParagraph"/>
              <w:spacing w:before="41"/>
              <w:ind w:left="208" w:right="199"/>
              <w:rPr>
                <w:sz w:val="18"/>
              </w:rPr>
            </w:pPr>
            <w:r>
              <w:rPr>
                <w:sz w:val="18"/>
              </w:rPr>
              <w:t>9.7</w:t>
            </w:r>
          </w:p>
        </w:tc>
        <w:tc>
          <w:tcPr>
            <w:tcW w:w="720" w:type="dxa"/>
          </w:tcPr>
          <w:p>
            <w:pPr>
              <w:pStyle w:val="TableParagraph"/>
              <w:spacing w:before="41"/>
              <w:ind w:left="111" w:right="102"/>
              <w:rPr>
                <w:sz w:val="18"/>
              </w:rPr>
            </w:pPr>
            <w:r>
              <w:rPr>
                <w:sz w:val="18"/>
              </w:rPr>
              <w:t>42.7</w:t>
            </w:r>
          </w:p>
        </w:tc>
        <w:tc>
          <w:tcPr>
            <w:tcW w:w="720" w:type="dxa"/>
          </w:tcPr>
          <w:p>
            <w:pPr>
              <w:pStyle w:val="TableParagraph"/>
              <w:spacing w:before="41"/>
              <w:ind w:left="111" w:right="102"/>
              <w:rPr>
                <w:sz w:val="18"/>
              </w:rPr>
            </w:pPr>
            <w:r>
              <w:rPr>
                <w:sz w:val="18"/>
              </w:rPr>
              <w:t>69.7</w:t>
            </w:r>
          </w:p>
        </w:tc>
        <w:tc>
          <w:tcPr>
            <w:tcW w:w="720" w:type="dxa"/>
          </w:tcPr>
          <w:p>
            <w:pPr>
              <w:pStyle w:val="TableParagraph"/>
              <w:spacing w:before="41"/>
              <w:ind w:left="111" w:right="101"/>
              <w:rPr>
                <w:sz w:val="18"/>
              </w:rPr>
            </w:pPr>
            <w:r>
              <w:rPr>
                <w:sz w:val="18"/>
              </w:rPr>
              <w:t>--</w:t>
            </w:r>
          </w:p>
        </w:tc>
        <w:tc>
          <w:tcPr>
            <w:tcW w:w="1170" w:type="dxa"/>
          </w:tcPr>
          <w:p>
            <w:pPr>
              <w:pStyle w:val="TableParagraph"/>
              <w:spacing w:before="41"/>
              <w:ind w:left="238" w:right="229"/>
              <w:rPr>
                <w:sz w:val="18"/>
              </w:rPr>
            </w:pPr>
            <w:r>
              <w:rPr>
                <w:sz w:val="18"/>
              </w:rPr>
              <w:t>--</w:t>
            </w:r>
          </w:p>
        </w:tc>
        <w:tc>
          <w:tcPr>
            <w:tcW w:w="720" w:type="dxa"/>
          </w:tcPr>
          <w:p>
            <w:pPr>
              <w:pStyle w:val="TableParagraph"/>
              <w:spacing w:before="41"/>
              <w:ind w:left="111" w:right="101"/>
              <w:rPr>
                <w:sz w:val="18"/>
              </w:rPr>
            </w:pPr>
            <w:r>
              <w:rPr>
                <w:sz w:val="18"/>
              </w:rPr>
              <w:t>--</w:t>
            </w:r>
          </w:p>
        </w:tc>
        <w:tc>
          <w:tcPr>
            <w:tcW w:w="900" w:type="dxa"/>
          </w:tcPr>
          <w:p>
            <w:pPr>
              <w:pStyle w:val="TableParagraph"/>
              <w:spacing w:before="41"/>
              <w:ind w:left="103" w:right="93"/>
              <w:rPr>
                <w:sz w:val="18"/>
              </w:rPr>
            </w:pPr>
            <w:r>
              <w:rPr>
                <w:sz w:val="18"/>
              </w:rPr>
              <w:t>--</w:t>
            </w:r>
          </w:p>
        </w:tc>
        <w:tc>
          <w:tcPr>
            <w:tcW w:w="720" w:type="dxa"/>
          </w:tcPr>
          <w:p>
            <w:pPr>
              <w:pStyle w:val="TableParagraph"/>
              <w:spacing w:before="41"/>
              <w:ind w:left="111" w:right="100"/>
              <w:rPr>
                <w:sz w:val="18"/>
              </w:rPr>
            </w:pPr>
            <w:r>
              <w:rPr>
                <w:sz w:val="18"/>
              </w:rPr>
              <w:t>--</w:t>
            </w:r>
          </w:p>
        </w:tc>
        <w:tc>
          <w:tcPr>
            <w:tcW w:w="990" w:type="dxa"/>
          </w:tcPr>
          <w:p>
            <w:pPr>
              <w:pStyle w:val="TableParagraph"/>
              <w:spacing w:before="37"/>
              <w:ind w:left="315" w:right="307"/>
              <w:rPr>
                <w:sz w:val="12"/>
              </w:rPr>
            </w:pPr>
            <w:r>
              <w:rPr>
                <w:sz w:val="18"/>
              </w:rPr>
              <w:t>1.0</w:t>
            </w:r>
            <w:r>
              <w:rPr>
                <w:position w:val="6"/>
                <w:sz w:val="12"/>
              </w:rPr>
              <w:t>1</w:t>
            </w:r>
          </w:p>
        </w:tc>
        <w:tc>
          <w:tcPr>
            <w:tcW w:w="1350" w:type="dxa"/>
          </w:tcPr>
          <w:p>
            <w:pPr>
              <w:pStyle w:val="TableParagraph"/>
              <w:spacing w:before="39"/>
              <w:ind w:left="253" w:right="245"/>
              <w:rPr>
                <w:sz w:val="18"/>
              </w:rPr>
            </w:pPr>
            <w:r>
              <w:rPr>
                <w:sz w:val="18"/>
              </w:rPr>
              <w:t>March 23,</w:t>
            </w:r>
          </w:p>
          <w:p>
            <w:pPr>
              <w:pStyle w:val="TableParagraph"/>
              <w:spacing w:before="1"/>
              <w:ind w:left="253" w:right="245"/>
              <w:rPr>
                <w:sz w:val="18"/>
              </w:rPr>
            </w:pPr>
            <w:r>
              <w:rPr>
                <w:sz w:val="18"/>
              </w:rPr>
              <w:t>2032</w:t>
            </w:r>
          </w:p>
        </w:tc>
      </w:tr>
      <w:tr>
        <w:trPr>
          <w:trHeight w:val="1114" w:hRule="atLeast"/>
        </w:trPr>
        <w:tc>
          <w:tcPr>
            <w:tcW w:w="1435" w:type="dxa"/>
          </w:tcPr>
          <w:p>
            <w:pPr>
              <w:pStyle w:val="TableParagraph"/>
              <w:spacing w:before="39"/>
              <w:ind w:left="122" w:right="111"/>
              <w:rPr>
                <w:sz w:val="18"/>
              </w:rPr>
            </w:pPr>
            <w:r>
              <w:rPr>
                <w:sz w:val="18"/>
              </w:rPr>
              <w:t>Dominguez Channel Estuary (below Vermont Avenue)</w:t>
            </w:r>
          </w:p>
        </w:tc>
        <w:tc>
          <w:tcPr>
            <w:tcW w:w="810" w:type="dxa"/>
          </w:tcPr>
          <w:p>
            <w:pPr>
              <w:pStyle w:val="TableParagraph"/>
              <w:spacing w:before="39"/>
              <w:ind w:left="208" w:right="201"/>
              <w:rPr>
                <w:sz w:val="18"/>
              </w:rPr>
            </w:pPr>
            <w:r>
              <w:rPr>
                <w:sz w:val="18"/>
              </w:rPr>
              <w:t>3.73</w:t>
            </w:r>
          </w:p>
        </w:tc>
        <w:tc>
          <w:tcPr>
            <w:tcW w:w="720" w:type="dxa"/>
          </w:tcPr>
          <w:p>
            <w:pPr>
              <w:pStyle w:val="TableParagraph"/>
              <w:spacing w:before="39"/>
              <w:ind w:left="111" w:right="103"/>
              <w:rPr>
                <w:sz w:val="18"/>
              </w:rPr>
            </w:pPr>
            <w:r>
              <w:rPr>
                <w:sz w:val="18"/>
              </w:rPr>
              <w:t>8.52</w:t>
            </w:r>
          </w:p>
        </w:tc>
        <w:tc>
          <w:tcPr>
            <w:tcW w:w="720" w:type="dxa"/>
          </w:tcPr>
          <w:p>
            <w:pPr>
              <w:pStyle w:val="TableParagraph"/>
              <w:spacing w:before="39"/>
              <w:ind w:left="111" w:right="104"/>
              <w:rPr>
                <w:sz w:val="18"/>
              </w:rPr>
            </w:pPr>
            <w:r>
              <w:rPr>
                <w:sz w:val="18"/>
              </w:rPr>
              <w:t>85.6</w:t>
            </w:r>
          </w:p>
        </w:tc>
        <w:tc>
          <w:tcPr>
            <w:tcW w:w="720" w:type="dxa"/>
          </w:tcPr>
          <w:p>
            <w:pPr>
              <w:pStyle w:val="TableParagraph"/>
              <w:spacing w:before="39"/>
              <w:ind w:left="111" w:right="105"/>
              <w:rPr>
                <w:sz w:val="18"/>
              </w:rPr>
            </w:pPr>
            <w:r>
              <w:rPr>
                <w:sz w:val="18"/>
              </w:rPr>
              <w:t>0.049</w:t>
            </w:r>
          </w:p>
        </w:tc>
        <w:tc>
          <w:tcPr>
            <w:tcW w:w="1170" w:type="dxa"/>
          </w:tcPr>
          <w:p>
            <w:pPr>
              <w:pStyle w:val="TableParagraph"/>
              <w:spacing w:before="39"/>
              <w:ind w:left="238" w:right="231"/>
              <w:rPr>
                <w:sz w:val="18"/>
              </w:rPr>
            </w:pPr>
            <w:r>
              <w:rPr>
                <w:sz w:val="18"/>
              </w:rPr>
              <w:t>0.00059</w:t>
            </w:r>
          </w:p>
        </w:tc>
        <w:tc>
          <w:tcPr>
            <w:tcW w:w="720" w:type="dxa"/>
          </w:tcPr>
          <w:p>
            <w:pPr>
              <w:pStyle w:val="TableParagraph"/>
              <w:spacing w:before="39"/>
              <w:ind w:left="111" w:right="105"/>
              <w:rPr>
                <w:sz w:val="18"/>
              </w:rPr>
            </w:pPr>
            <w:r>
              <w:rPr>
                <w:sz w:val="18"/>
              </w:rPr>
              <w:t>0.000</w:t>
            </w:r>
          </w:p>
          <w:p>
            <w:pPr>
              <w:pStyle w:val="TableParagraph"/>
              <w:spacing w:before="1"/>
              <w:ind w:left="111" w:right="104"/>
              <w:rPr>
                <w:sz w:val="18"/>
              </w:rPr>
            </w:pPr>
            <w:r>
              <w:rPr>
                <w:sz w:val="18"/>
              </w:rPr>
              <w:t>59</w:t>
            </w:r>
          </w:p>
        </w:tc>
        <w:tc>
          <w:tcPr>
            <w:tcW w:w="900" w:type="dxa"/>
          </w:tcPr>
          <w:p>
            <w:pPr>
              <w:pStyle w:val="TableParagraph"/>
              <w:spacing w:before="39"/>
              <w:ind w:left="103" w:right="95"/>
              <w:rPr>
                <w:sz w:val="18"/>
              </w:rPr>
            </w:pPr>
            <w:r>
              <w:rPr>
                <w:sz w:val="18"/>
              </w:rPr>
              <w:t>0.00014</w:t>
            </w:r>
          </w:p>
        </w:tc>
        <w:tc>
          <w:tcPr>
            <w:tcW w:w="720" w:type="dxa"/>
          </w:tcPr>
          <w:p>
            <w:pPr>
              <w:pStyle w:val="TableParagraph"/>
              <w:spacing w:before="39"/>
              <w:ind w:left="111" w:right="105"/>
              <w:rPr>
                <w:sz w:val="18"/>
              </w:rPr>
            </w:pPr>
            <w:r>
              <w:rPr>
                <w:sz w:val="18"/>
              </w:rPr>
              <w:t>0.000</w:t>
            </w:r>
          </w:p>
          <w:p>
            <w:pPr>
              <w:pStyle w:val="TableParagraph"/>
              <w:spacing w:before="1"/>
              <w:ind w:left="111" w:right="104"/>
              <w:rPr>
                <w:sz w:val="18"/>
              </w:rPr>
            </w:pPr>
            <w:r>
              <w:rPr>
                <w:sz w:val="18"/>
              </w:rPr>
              <w:t>17</w:t>
            </w:r>
          </w:p>
        </w:tc>
        <w:tc>
          <w:tcPr>
            <w:tcW w:w="990" w:type="dxa"/>
          </w:tcPr>
          <w:p>
            <w:pPr>
              <w:pStyle w:val="TableParagraph"/>
              <w:jc w:val="left"/>
              <w:rPr>
                <w:rFonts w:ascii="Times New Roman"/>
                <w:sz w:val="20"/>
              </w:rPr>
            </w:pPr>
          </w:p>
        </w:tc>
        <w:tc>
          <w:tcPr>
            <w:tcW w:w="1350" w:type="dxa"/>
          </w:tcPr>
          <w:p>
            <w:pPr>
              <w:pStyle w:val="TableParagraph"/>
              <w:spacing w:before="39"/>
              <w:ind w:left="253" w:right="245"/>
              <w:rPr>
                <w:sz w:val="18"/>
              </w:rPr>
            </w:pPr>
            <w:r>
              <w:rPr>
                <w:sz w:val="18"/>
              </w:rPr>
              <w:t>March 23,</w:t>
            </w:r>
          </w:p>
          <w:p>
            <w:pPr>
              <w:pStyle w:val="TableParagraph"/>
              <w:spacing w:before="1"/>
              <w:ind w:left="253" w:right="245"/>
              <w:rPr>
                <w:sz w:val="18"/>
              </w:rPr>
            </w:pPr>
            <w:r>
              <w:rPr>
                <w:sz w:val="18"/>
              </w:rPr>
              <w:t>2032</w:t>
            </w:r>
          </w:p>
        </w:tc>
      </w:tr>
      <w:tr>
        <w:trPr>
          <w:trHeight w:val="661" w:hRule="atLeast"/>
        </w:trPr>
        <w:tc>
          <w:tcPr>
            <w:tcW w:w="1435" w:type="dxa"/>
          </w:tcPr>
          <w:p>
            <w:pPr>
              <w:pStyle w:val="TableParagraph"/>
              <w:spacing w:before="39"/>
              <w:ind w:left="322" w:right="310" w:hanging="1"/>
              <w:rPr>
                <w:sz w:val="18"/>
              </w:rPr>
            </w:pPr>
            <w:r>
              <w:rPr>
                <w:sz w:val="18"/>
              </w:rPr>
              <w:t>Inner and Outer Los</w:t>
            </w:r>
          </w:p>
          <w:p>
            <w:pPr>
              <w:pStyle w:val="TableParagraph"/>
              <w:spacing w:line="188" w:lineRule="exact"/>
              <w:ind w:left="196" w:right="188"/>
              <w:rPr>
                <w:sz w:val="18"/>
              </w:rPr>
            </w:pPr>
            <w:r>
              <w:rPr>
                <w:sz w:val="18"/>
              </w:rPr>
              <w:t>Angeles and</w:t>
            </w:r>
          </w:p>
        </w:tc>
        <w:tc>
          <w:tcPr>
            <w:tcW w:w="810" w:type="dxa"/>
          </w:tcPr>
          <w:p>
            <w:pPr>
              <w:pStyle w:val="TableParagraph"/>
              <w:spacing w:before="39"/>
              <w:ind w:left="208" w:right="201"/>
              <w:rPr>
                <w:sz w:val="18"/>
              </w:rPr>
            </w:pPr>
            <w:r>
              <w:rPr>
                <w:sz w:val="18"/>
              </w:rPr>
              <w:t>3.73</w:t>
            </w:r>
          </w:p>
        </w:tc>
        <w:tc>
          <w:tcPr>
            <w:tcW w:w="720" w:type="dxa"/>
          </w:tcPr>
          <w:p>
            <w:pPr>
              <w:pStyle w:val="TableParagraph"/>
              <w:spacing w:before="39"/>
              <w:ind w:left="111" w:right="103"/>
              <w:rPr>
                <w:sz w:val="18"/>
              </w:rPr>
            </w:pPr>
            <w:r>
              <w:rPr>
                <w:sz w:val="18"/>
              </w:rPr>
              <w:t>8.52</w:t>
            </w:r>
          </w:p>
        </w:tc>
        <w:tc>
          <w:tcPr>
            <w:tcW w:w="720" w:type="dxa"/>
          </w:tcPr>
          <w:p>
            <w:pPr>
              <w:pStyle w:val="TableParagraph"/>
              <w:spacing w:before="39"/>
              <w:ind w:left="111" w:right="103"/>
              <w:rPr>
                <w:sz w:val="18"/>
              </w:rPr>
            </w:pPr>
            <w:r>
              <w:rPr>
                <w:sz w:val="18"/>
              </w:rPr>
              <w:t>85.6</w:t>
            </w:r>
          </w:p>
        </w:tc>
        <w:tc>
          <w:tcPr>
            <w:tcW w:w="720" w:type="dxa"/>
          </w:tcPr>
          <w:p>
            <w:pPr>
              <w:pStyle w:val="TableParagraph"/>
              <w:spacing w:before="39"/>
              <w:ind w:left="111" w:right="103"/>
              <w:rPr>
                <w:sz w:val="18"/>
              </w:rPr>
            </w:pPr>
            <w:r>
              <w:rPr>
                <w:sz w:val="18"/>
              </w:rPr>
              <w:t>N/A</w:t>
            </w:r>
          </w:p>
        </w:tc>
        <w:tc>
          <w:tcPr>
            <w:tcW w:w="1170" w:type="dxa"/>
          </w:tcPr>
          <w:p>
            <w:pPr>
              <w:pStyle w:val="TableParagraph"/>
              <w:spacing w:before="39"/>
              <w:ind w:left="237" w:right="231"/>
              <w:rPr>
                <w:sz w:val="18"/>
              </w:rPr>
            </w:pPr>
            <w:r>
              <w:rPr>
                <w:sz w:val="18"/>
              </w:rPr>
              <w:t>N/A</w:t>
            </w:r>
          </w:p>
        </w:tc>
        <w:tc>
          <w:tcPr>
            <w:tcW w:w="720" w:type="dxa"/>
          </w:tcPr>
          <w:p>
            <w:pPr>
              <w:pStyle w:val="TableParagraph"/>
              <w:spacing w:before="39"/>
              <w:ind w:left="110" w:right="106"/>
              <w:rPr>
                <w:sz w:val="18"/>
              </w:rPr>
            </w:pPr>
            <w:r>
              <w:rPr>
                <w:sz w:val="18"/>
              </w:rPr>
              <w:t>0.000</w:t>
            </w:r>
          </w:p>
          <w:p>
            <w:pPr>
              <w:pStyle w:val="TableParagraph"/>
              <w:spacing w:before="1"/>
              <w:ind w:left="111" w:right="104"/>
              <w:rPr>
                <w:sz w:val="18"/>
              </w:rPr>
            </w:pPr>
            <w:r>
              <w:rPr>
                <w:sz w:val="18"/>
              </w:rPr>
              <w:t>59</w:t>
            </w:r>
          </w:p>
        </w:tc>
        <w:tc>
          <w:tcPr>
            <w:tcW w:w="900" w:type="dxa"/>
          </w:tcPr>
          <w:p>
            <w:pPr>
              <w:pStyle w:val="TableParagraph"/>
              <w:spacing w:before="39"/>
              <w:ind w:left="103" w:right="94"/>
              <w:rPr>
                <w:sz w:val="18"/>
              </w:rPr>
            </w:pPr>
            <w:r>
              <w:rPr>
                <w:sz w:val="18"/>
              </w:rPr>
              <w:t>N/A</w:t>
            </w:r>
          </w:p>
        </w:tc>
        <w:tc>
          <w:tcPr>
            <w:tcW w:w="720" w:type="dxa"/>
          </w:tcPr>
          <w:p>
            <w:pPr>
              <w:pStyle w:val="TableParagraph"/>
              <w:spacing w:before="39"/>
              <w:ind w:left="111" w:right="105"/>
              <w:rPr>
                <w:sz w:val="18"/>
              </w:rPr>
            </w:pPr>
            <w:r>
              <w:rPr>
                <w:sz w:val="18"/>
              </w:rPr>
              <w:t>0.000</w:t>
            </w:r>
          </w:p>
          <w:p>
            <w:pPr>
              <w:pStyle w:val="TableParagraph"/>
              <w:spacing w:before="1"/>
              <w:ind w:left="111" w:right="104"/>
              <w:rPr>
                <w:sz w:val="18"/>
              </w:rPr>
            </w:pPr>
            <w:r>
              <w:rPr>
                <w:sz w:val="18"/>
              </w:rPr>
              <w:t>17</w:t>
            </w:r>
          </w:p>
        </w:tc>
        <w:tc>
          <w:tcPr>
            <w:tcW w:w="990" w:type="dxa"/>
          </w:tcPr>
          <w:p>
            <w:pPr>
              <w:pStyle w:val="TableParagraph"/>
              <w:jc w:val="left"/>
              <w:rPr>
                <w:rFonts w:ascii="Times New Roman"/>
                <w:sz w:val="20"/>
              </w:rPr>
            </w:pPr>
          </w:p>
        </w:tc>
        <w:tc>
          <w:tcPr>
            <w:tcW w:w="1350" w:type="dxa"/>
          </w:tcPr>
          <w:p>
            <w:pPr>
              <w:pStyle w:val="TableParagraph"/>
              <w:spacing w:before="39"/>
              <w:ind w:left="253" w:right="245"/>
              <w:rPr>
                <w:sz w:val="18"/>
              </w:rPr>
            </w:pPr>
            <w:r>
              <w:rPr>
                <w:sz w:val="18"/>
              </w:rPr>
              <w:t>March 23,</w:t>
            </w:r>
          </w:p>
          <w:p>
            <w:pPr>
              <w:pStyle w:val="TableParagraph"/>
              <w:spacing w:before="1"/>
              <w:ind w:left="253" w:right="245"/>
              <w:rPr>
                <w:sz w:val="18"/>
              </w:rPr>
            </w:pPr>
            <w:r>
              <w:rPr>
                <w:sz w:val="18"/>
              </w:rPr>
              <w:t>2032</w:t>
            </w:r>
          </w:p>
        </w:tc>
      </w:tr>
    </w:tbl>
    <w:p>
      <w:pPr>
        <w:spacing w:after="0"/>
        <w:rPr>
          <w:sz w:val="18"/>
        </w:rPr>
        <w:sectPr>
          <w:pgSz w:w="12240" w:h="15840"/>
          <w:pgMar w:header="728" w:footer="788" w:top="1540" w:bottom="980" w:left="1160" w:right="420"/>
        </w:sectPr>
      </w:pPr>
    </w:p>
    <w:p>
      <w:pPr>
        <w:pStyle w:val="BodyText"/>
        <w:spacing w:before="11"/>
        <w:rPr>
          <w:b/>
          <w:sz w:val="23"/>
        </w:rPr>
      </w:pPr>
    </w:p>
    <w:tbl>
      <w:tblPr>
        <w:tblW w:w="0" w:type="auto"/>
        <w:jc w:val="left"/>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35"/>
        <w:gridCol w:w="810"/>
        <w:gridCol w:w="720"/>
        <w:gridCol w:w="720"/>
        <w:gridCol w:w="720"/>
        <w:gridCol w:w="1170"/>
        <w:gridCol w:w="720"/>
        <w:gridCol w:w="900"/>
        <w:gridCol w:w="720"/>
        <w:gridCol w:w="990"/>
        <w:gridCol w:w="1350"/>
      </w:tblGrid>
      <w:tr>
        <w:trPr>
          <w:trHeight w:val="454" w:hRule="atLeast"/>
        </w:trPr>
        <w:tc>
          <w:tcPr>
            <w:tcW w:w="1435" w:type="dxa"/>
          </w:tcPr>
          <w:p>
            <w:pPr>
              <w:pStyle w:val="TableParagraph"/>
              <w:ind w:left="131" w:right="103" w:firstLine="105"/>
              <w:jc w:val="left"/>
              <w:rPr>
                <w:sz w:val="18"/>
              </w:rPr>
            </w:pPr>
            <w:r>
              <w:rPr>
                <w:sz w:val="18"/>
              </w:rPr>
              <w:t>Long Beach Harbor Waters</w:t>
            </w:r>
          </w:p>
        </w:tc>
        <w:tc>
          <w:tcPr>
            <w:tcW w:w="810" w:type="dxa"/>
          </w:tcPr>
          <w:p>
            <w:pPr>
              <w:pStyle w:val="TableParagraph"/>
              <w:jc w:val="left"/>
              <w:rPr>
                <w:rFonts w:ascii="Times New Roman"/>
                <w:sz w:val="20"/>
              </w:rPr>
            </w:pPr>
          </w:p>
        </w:tc>
        <w:tc>
          <w:tcPr>
            <w:tcW w:w="720" w:type="dxa"/>
          </w:tcPr>
          <w:p>
            <w:pPr>
              <w:pStyle w:val="TableParagraph"/>
              <w:jc w:val="left"/>
              <w:rPr>
                <w:rFonts w:ascii="Times New Roman"/>
                <w:sz w:val="20"/>
              </w:rPr>
            </w:pPr>
          </w:p>
        </w:tc>
        <w:tc>
          <w:tcPr>
            <w:tcW w:w="720" w:type="dxa"/>
          </w:tcPr>
          <w:p>
            <w:pPr>
              <w:pStyle w:val="TableParagraph"/>
              <w:jc w:val="left"/>
              <w:rPr>
                <w:rFonts w:ascii="Times New Roman"/>
                <w:sz w:val="20"/>
              </w:rPr>
            </w:pPr>
          </w:p>
        </w:tc>
        <w:tc>
          <w:tcPr>
            <w:tcW w:w="720" w:type="dxa"/>
          </w:tcPr>
          <w:p>
            <w:pPr>
              <w:pStyle w:val="TableParagraph"/>
              <w:jc w:val="left"/>
              <w:rPr>
                <w:rFonts w:ascii="Times New Roman"/>
                <w:sz w:val="20"/>
              </w:rPr>
            </w:pPr>
          </w:p>
        </w:tc>
        <w:tc>
          <w:tcPr>
            <w:tcW w:w="1170" w:type="dxa"/>
          </w:tcPr>
          <w:p>
            <w:pPr>
              <w:pStyle w:val="TableParagraph"/>
              <w:jc w:val="left"/>
              <w:rPr>
                <w:rFonts w:ascii="Times New Roman"/>
                <w:sz w:val="20"/>
              </w:rPr>
            </w:pPr>
          </w:p>
        </w:tc>
        <w:tc>
          <w:tcPr>
            <w:tcW w:w="720" w:type="dxa"/>
          </w:tcPr>
          <w:p>
            <w:pPr>
              <w:pStyle w:val="TableParagraph"/>
              <w:jc w:val="left"/>
              <w:rPr>
                <w:rFonts w:ascii="Times New Roman"/>
                <w:sz w:val="20"/>
              </w:rPr>
            </w:pPr>
          </w:p>
        </w:tc>
        <w:tc>
          <w:tcPr>
            <w:tcW w:w="900" w:type="dxa"/>
          </w:tcPr>
          <w:p>
            <w:pPr>
              <w:pStyle w:val="TableParagraph"/>
              <w:jc w:val="left"/>
              <w:rPr>
                <w:rFonts w:ascii="Times New Roman"/>
                <w:sz w:val="20"/>
              </w:rPr>
            </w:pPr>
          </w:p>
        </w:tc>
        <w:tc>
          <w:tcPr>
            <w:tcW w:w="720" w:type="dxa"/>
          </w:tcPr>
          <w:p>
            <w:pPr>
              <w:pStyle w:val="TableParagraph"/>
              <w:jc w:val="left"/>
              <w:rPr>
                <w:rFonts w:ascii="Times New Roman"/>
                <w:sz w:val="20"/>
              </w:rPr>
            </w:pPr>
          </w:p>
        </w:tc>
        <w:tc>
          <w:tcPr>
            <w:tcW w:w="990" w:type="dxa"/>
          </w:tcPr>
          <w:p>
            <w:pPr>
              <w:pStyle w:val="TableParagraph"/>
              <w:jc w:val="left"/>
              <w:rPr>
                <w:rFonts w:ascii="Times New Roman"/>
                <w:sz w:val="20"/>
              </w:rPr>
            </w:pPr>
          </w:p>
        </w:tc>
        <w:tc>
          <w:tcPr>
            <w:tcW w:w="1350" w:type="dxa"/>
          </w:tcPr>
          <w:p>
            <w:pPr>
              <w:pStyle w:val="TableParagraph"/>
              <w:jc w:val="left"/>
              <w:rPr>
                <w:rFonts w:ascii="Times New Roman"/>
                <w:sz w:val="20"/>
              </w:rPr>
            </w:pPr>
          </w:p>
        </w:tc>
      </w:tr>
      <w:tr>
        <w:trPr>
          <w:trHeight w:val="2015" w:hRule="atLeast"/>
        </w:trPr>
        <w:tc>
          <w:tcPr>
            <w:tcW w:w="10255" w:type="dxa"/>
            <w:gridSpan w:val="11"/>
          </w:tcPr>
          <w:p>
            <w:pPr>
              <w:pStyle w:val="TableParagraph"/>
              <w:spacing w:before="60"/>
              <w:ind w:left="107"/>
              <w:jc w:val="left"/>
              <w:rPr>
                <w:sz w:val="18"/>
              </w:rPr>
            </w:pPr>
            <w:r>
              <w:rPr>
                <w:sz w:val="18"/>
                <w:u w:val="single"/>
              </w:rPr>
              <w:t>Table Note:</w:t>
            </w:r>
          </w:p>
          <w:p>
            <w:pPr>
              <w:pStyle w:val="TableParagraph"/>
              <w:spacing w:before="58"/>
              <w:ind w:left="107" w:right="724"/>
              <w:jc w:val="left"/>
              <w:rPr>
                <w:sz w:val="18"/>
              </w:rPr>
            </w:pPr>
            <w:r>
              <w:rPr>
                <w:sz w:val="18"/>
              </w:rPr>
              <w:t>Freshwater toxicity target: This TMDL also establishes a numeric toxicity target of 1.0 toxicity unit, chronic (1.0 TUc) to address toxicity.</w:t>
            </w:r>
          </w:p>
          <w:p>
            <w:pPr>
              <w:pStyle w:val="TableParagraph"/>
              <w:spacing w:before="61"/>
              <w:ind w:left="107"/>
              <w:jc w:val="left"/>
              <w:rPr>
                <w:sz w:val="18"/>
              </w:rPr>
            </w:pPr>
            <w:r>
              <w:rPr>
                <w:sz w:val="18"/>
              </w:rPr>
              <w:t>TUc = Toxicity Unit, chronic = 100/NOEC (no observable effects concentration)</w:t>
            </w:r>
          </w:p>
          <w:p>
            <w:pPr>
              <w:pStyle w:val="TableParagraph"/>
              <w:spacing w:before="60"/>
              <w:ind w:left="107" w:right="783"/>
              <w:jc w:val="left"/>
              <w:rPr>
                <w:sz w:val="18"/>
              </w:rPr>
            </w:pPr>
            <w:r>
              <w:rPr>
                <w:sz w:val="18"/>
              </w:rPr>
              <w:t>Targets based on new toxicity criteria that achieve the narrative Toxicity objective of Chapter 3 of this Basin Plan may substitute for the TUc of 1, when those new criteria are adopted and in effect.</w:t>
            </w:r>
          </w:p>
          <w:p>
            <w:pPr>
              <w:pStyle w:val="TableParagraph"/>
              <w:spacing w:before="60"/>
              <w:ind w:left="107" w:right="112"/>
              <w:jc w:val="left"/>
              <w:rPr>
                <w:sz w:val="18"/>
              </w:rPr>
            </w:pPr>
            <w:r>
              <w:rPr>
                <w:sz w:val="18"/>
              </w:rPr>
              <w:t>ELs for the Los Angeles and Long Beach Inner/Outer Harbor Waters are sourced from the Dominguez Channel and Inner and Outer Los Angeles and Long Beach Waters Toxic Pollutants TMDL.</w:t>
            </w:r>
          </w:p>
        </w:tc>
      </w:tr>
    </w:tbl>
    <w:p>
      <w:pPr>
        <w:pStyle w:val="BodyText"/>
        <w:rPr>
          <w:b/>
          <w:sz w:val="20"/>
        </w:rPr>
      </w:pPr>
    </w:p>
    <w:p>
      <w:pPr>
        <w:pStyle w:val="BodyText"/>
        <w:rPr>
          <w:b/>
          <w:sz w:val="20"/>
        </w:rPr>
      </w:pPr>
    </w:p>
    <w:p>
      <w:pPr>
        <w:pStyle w:val="BodyText"/>
        <w:rPr>
          <w:b/>
          <w:sz w:val="20"/>
        </w:rPr>
      </w:pPr>
    </w:p>
    <w:p>
      <w:pPr>
        <w:pStyle w:val="BodyText"/>
        <w:spacing w:before="8"/>
        <w:rPr>
          <w:b/>
          <w:sz w:val="21"/>
        </w:rPr>
      </w:pPr>
    </w:p>
    <w:p>
      <w:pPr>
        <w:spacing w:before="93"/>
        <w:ind w:left="280" w:right="2091" w:firstLine="0"/>
        <w:jc w:val="left"/>
        <w:rPr>
          <w:b/>
          <w:sz w:val="24"/>
        </w:rPr>
      </w:pPr>
      <w:r>
        <w:rPr>
          <w:b/>
          <w:sz w:val="24"/>
        </w:rPr>
        <w:t>Table 4. Sediment-Associated Effluent Limitations Applicable to Specific Waterbodies by the compliance deadline noted in the table</w:t>
      </w:r>
    </w:p>
    <w:tbl>
      <w:tblPr>
        <w:tblW w:w="0" w:type="auto"/>
        <w:jc w:val="left"/>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694"/>
        <w:gridCol w:w="1310"/>
        <w:gridCol w:w="1456"/>
        <w:gridCol w:w="1250"/>
        <w:gridCol w:w="1648"/>
      </w:tblGrid>
      <w:tr>
        <w:trPr>
          <w:trHeight w:val="436" w:hRule="atLeast"/>
        </w:trPr>
        <w:tc>
          <w:tcPr>
            <w:tcW w:w="3694" w:type="dxa"/>
            <w:vMerge w:val="restart"/>
            <w:shd w:val="clear" w:color="auto" w:fill="D9D9D9"/>
          </w:tcPr>
          <w:p>
            <w:pPr>
              <w:pStyle w:val="TableParagraph"/>
              <w:spacing w:before="4"/>
              <w:jc w:val="left"/>
              <w:rPr>
                <w:b/>
                <w:sz w:val="26"/>
              </w:rPr>
            </w:pPr>
          </w:p>
          <w:p>
            <w:pPr>
              <w:pStyle w:val="TableParagraph"/>
              <w:spacing w:before="1"/>
              <w:ind w:left="1226"/>
              <w:jc w:val="left"/>
              <w:rPr>
                <w:b/>
                <w:sz w:val="24"/>
              </w:rPr>
            </w:pPr>
            <w:r>
              <w:rPr>
                <w:b/>
                <w:sz w:val="24"/>
              </w:rPr>
              <w:t>Waterbody</w:t>
            </w:r>
          </w:p>
        </w:tc>
        <w:tc>
          <w:tcPr>
            <w:tcW w:w="4016" w:type="dxa"/>
            <w:gridSpan w:val="3"/>
            <w:shd w:val="clear" w:color="auto" w:fill="D9D9D9"/>
          </w:tcPr>
          <w:p>
            <w:pPr>
              <w:pStyle w:val="TableParagraph"/>
              <w:spacing w:before="80"/>
              <w:ind w:left="138"/>
              <w:jc w:val="left"/>
              <w:rPr>
                <w:b/>
                <w:sz w:val="24"/>
              </w:rPr>
            </w:pPr>
            <w:r>
              <w:rPr>
                <w:b/>
                <w:sz w:val="24"/>
              </w:rPr>
              <w:t>Instantaneous Maximum (mg/kg)</w:t>
            </w:r>
          </w:p>
        </w:tc>
        <w:tc>
          <w:tcPr>
            <w:tcW w:w="1648" w:type="dxa"/>
            <w:vMerge w:val="restart"/>
            <w:shd w:val="clear" w:color="auto" w:fill="D9D9D9"/>
          </w:tcPr>
          <w:p>
            <w:pPr>
              <w:pStyle w:val="TableParagraph"/>
              <w:spacing w:before="166"/>
              <w:ind w:left="561" w:right="116" w:hanging="420"/>
              <w:jc w:val="left"/>
              <w:rPr>
                <w:b/>
                <w:sz w:val="24"/>
              </w:rPr>
            </w:pPr>
            <w:r>
              <w:rPr>
                <w:b/>
                <w:sz w:val="24"/>
              </w:rPr>
              <w:t>Compliance Date</w:t>
            </w:r>
          </w:p>
        </w:tc>
      </w:tr>
      <w:tr>
        <w:trPr>
          <w:trHeight w:val="435" w:hRule="atLeast"/>
        </w:trPr>
        <w:tc>
          <w:tcPr>
            <w:tcW w:w="3694" w:type="dxa"/>
            <w:vMerge/>
            <w:tcBorders>
              <w:top w:val="nil"/>
            </w:tcBorders>
            <w:shd w:val="clear" w:color="auto" w:fill="D9D9D9"/>
          </w:tcPr>
          <w:p>
            <w:pPr>
              <w:rPr>
                <w:sz w:val="2"/>
                <w:szCs w:val="2"/>
              </w:rPr>
            </w:pPr>
          </w:p>
        </w:tc>
        <w:tc>
          <w:tcPr>
            <w:tcW w:w="1310" w:type="dxa"/>
            <w:shd w:val="clear" w:color="auto" w:fill="D9D9D9"/>
          </w:tcPr>
          <w:p>
            <w:pPr>
              <w:pStyle w:val="TableParagraph"/>
              <w:spacing w:before="80"/>
              <w:ind w:left="86" w:right="79"/>
              <w:rPr>
                <w:b/>
                <w:sz w:val="24"/>
              </w:rPr>
            </w:pPr>
            <w:r>
              <w:rPr>
                <w:b/>
                <w:sz w:val="24"/>
              </w:rPr>
              <w:t>Cadmium</w:t>
            </w:r>
          </w:p>
        </w:tc>
        <w:tc>
          <w:tcPr>
            <w:tcW w:w="1456" w:type="dxa"/>
            <w:shd w:val="clear" w:color="auto" w:fill="D9D9D9"/>
          </w:tcPr>
          <w:p>
            <w:pPr>
              <w:pStyle w:val="TableParagraph"/>
              <w:spacing w:before="80"/>
              <w:ind w:left="105" w:right="101"/>
              <w:rPr>
                <w:b/>
                <w:sz w:val="24"/>
              </w:rPr>
            </w:pPr>
            <w:r>
              <w:rPr>
                <w:b/>
                <w:sz w:val="24"/>
              </w:rPr>
              <w:t>Chromium</w:t>
            </w:r>
          </w:p>
        </w:tc>
        <w:tc>
          <w:tcPr>
            <w:tcW w:w="1250" w:type="dxa"/>
            <w:shd w:val="clear" w:color="auto" w:fill="D9D9D9"/>
          </w:tcPr>
          <w:p>
            <w:pPr>
              <w:pStyle w:val="TableParagraph"/>
              <w:spacing w:before="80"/>
              <w:ind w:left="135" w:right="131"/>
              <w:rPr>
                <w:b/>
                <w:sz w:val="24"/>
              </w:rPr>
            </w:pPr>
            <w:r>
              <w:rPr>
                <w:b/>
                <w:sz w:val="24"/>
              </w:rPr>
              <w:t>Mercury</w:t>
            </w:r>
          </w:p>
        </w:tc>
        <w:tc>
          <w:tcPr>
            <w:tcW w:w="1648" w:type="dxa"/>
            <w:vMerge/>
            <w:tcBorders>
              <w:top w:val="nil"/>
            </w:tcBorders>
            <w:shd w:val="clear" w:color="auto" w:fill="D9D9D9"/>
          </w:tcPr>
          <w:p>
            <w:pPr>
              <w:rPr>
                <w:sz w:val="2"/>
                <w:szCs w:val="2"/>
              </w:rPr>
            </w:pPr>
          </w:p>
        </w:tc>
      </w:tr>
      <w:tr>
        <w:trPr>
          <w:trHeight w:val="632" w:hRule="atLeast"/>
        </w:trPr>
        <w:tc>
          <w:tcPr>
            <w:tcW w:w="3694" w:type="dxa"/>
          </w:tcPr>
          <w:p>
            <w:pPr>
              <w:pStyle w:val="TableParagraph"/>
              <w:spacing w:before="180"/>
              <w:ind w:left="297" w:right="291"/>
              <w:rPr>
                <w:sz w:val="24"/>
              </w:rPr>
            </w:pPr>
            <w:r>
              <w:rPr>
                <w:sz w:val="24"/>
              </w:rPr>
              <w:t>Dominguez Channel Estuary</w:t>
            </w:r>
          </w:p>
        </w:tc>
        <w:tc>
          <w:tcPr>
            <w:tcW w:w="1310" w:type="dxa"/>
          </w:tcPr>
          <w:p>
            <w:pPr>
              <w:pStyle w:val="TableParagraph"/>
              <w:spacing w:before="180"/>
              <w:ind w:left="84" w:right="79"/>
              <w:rPr>
                <w:sz w:val="24"/>
              </w:rPr>
            </w:pPr>
            <w:r>
              <w:rPr>
                <w:sz w:val="24"/>
              </w:rPr>
              <w:t>1.2</w:t>
            </w:r>
          </w:p>
        </w:tc>
        <w:tc>
          <w:tcPr>
            <w:tcW w:w="1456" w:type="dxa"/>
          </w:tcPr>
          <w:p>
            <w:pPr>
              <w:pStyle w:val="TableParagraph"/>
              <w:spacing w:before="180"/>
              <w:ind w:left="101" w:right="101"/>
              <w:rPr>
                <w:sz w:val="24"/>
              </w:rPr>
            </w:pPr>
            <w:r>
              <w:rPr>
                <w:sz w:val="24"/>
              </w:rPr>
              <w:t>--</w:t>
            </w:r>
          </w:p>
        </w:tc>
        <w:tc>
          <w:tcPr>
            <w:tcW w:w="1250" w:type="dxa"/>
          </w:tcPr>
          <w:p>
            <w:pPr>
              <w:pStyle w:val="TableParagraph"/>
              <w:spacing w:before="180"/>
              <w:ind w:left="133" w:right="131"/>
              <w:rPr>
                <w:sz w:val="24"/>
              </w:rPr>
            </w:pPr>
            <w:r>
              <w:rPr>
                <w:sz w:val="24"/>
              </w:rPr>
              <w:t>--</w:t>
            </w:r>
          </w:p>
        </w:tc>
        <w:tc>
          <w:tcPr>
            <w:tcW w:w="1648" w:type="dxa"/>
          </w:tcPr>
          <w:p>
            <w:pPr>
              <w:pStyle w:val="TableParagraph"/>
              <w:spacing w:before="41"/>
              <w:ind w:left="266" w:right="263"/>
              <w:rPr>
                <w:sz w:val="24"/>
              </w:rPr>
            </w:pPr>
            <w:r>
              <w:rPr>
                <w:sz w:val="24"/>
              </w:rPr>
              <w:t>March 23,</w:t>
            </w:r>
          </w:p>
          <w:p>
            <w:pPr>
              <w:pStyle w:val="TableParagraph"/>
              <w:ind w:left="266" w:right="262"/>
              <w:rPr>
                <w:sz w:val="24"/>
              </w:rPr>
            </w:pPr>
            <w:r>
              <w:rPr>
                <w:sz w:val="24"/>
              </w:rPr>
              <w:t>2032</w:t>
            </w:r>
          </w:p>
        </w:tc>
      </w:tr>
      <w:tr>
        <w:trPr>
          <w:trHeight w:val="631" w:hRule="atLeast"/>
        </w:trPr>
        <w:tc>
          <w:tcPr>
            <w:tcW w:w="3694" w:type="dxa"/>
          </w:tcPr>
          <w:p>
            <w:pPr>
              <w:pStyle w:val="TableParagraph"/>
              <w:spacing w:before="41"/>
              <w:ind w:left="913" w:right="657" w:hanging="228"/>
              <w:jc w:val="left"/>
              <w:rPr>
                <w:sz w:val="24"/>
              </w:rPr>
            </w:pPr>
            <w:r>
              <w:rPr>
                <w:sz w:val="24"/>
              </w:rPr>
              <w:t>Los Angeles Harbor – Consolidated Slip</w:t>
            </w:r>
          </w:p>
        </w:tc>
        <w:tc>
          <w:tcPr>
            <w:tcW w:w="1310" w:type="dxa"/>
          </w:tcPr>
          <w:p>
            <w:pPr>
              <w:pStyle w:val="TableParagraph"/>
              <w:spacing w:before="180"/>
              <w:ind w:left="86" w:right="78"/>
              <w:rPr>
                <w:sz w:val="24"/>
              </w:rPr>
            </w:pPr>
            <w:r>
              <w:rPr>
                <w:sz w:val="24"/>
              </w:rPr>
              <w:t>1.2</w:t>
            </w:r>
          </w:p>
        </w:tc>
        <w:tc>
          <w:tcPr>
            <w:tcW w:w="1456" w:type="dxa"/>
          </w:tcPr>
          <w:p>
            <w:pPr>
              <w:pStyle w:val="TableParagraph"/>
              <w:spacing w:before="180"/>
              <w:ind w:left="105" w:right="101"/>
              <w:rPr>
                <w:sz w:val="24"/>
              </w:rPr>
            </w:pPr>
            <w:r>
              <w:rPr>
                <w:sz w:val="24"/>
              </w:rPr>
              <w:t>81</w:t>
            </w:r>
          </w:p>
        </w:tc>
        <w:tc>
          <w:tcPr>
            <w:tcW w:w="1250" w:type="dxa"/>
          </w:tcPr>
          <w:p>
            <w:pPr>
              <w:pStyle w:val="TableParagraph"/>
              <w:spacing w:before="180"/>
              <w:ind w:left="135" w:right="131"/>
              <w:rPr>
                <w:sz w:val="24"/>
              </w:rPr>
            </w:pPr>
            <w:r>
              <w:rPr>
                <w:sz w:val="24"/>
              </w:rPr>
              <w:t>0.15</w:t>
            </w:r>
          </w:p>
        </w:tc>
        <w:tc>
          <w:tcPr>
            <w:tcW w:w="1648" w:type="dxa"/>
          </w:tcPr>
          <w:p>
            <w:pPr>
              <w:pStyle w:val="TableParagraph"/>
              <w:spacing w:before="41"/>
              <w:ind w:left="266" w:right="263"/>
              <w:rPr>
                <w:sz w:val="24"/>
              </w:rPr>
            </w:pPr>
            <w:r>
              <w:rPr>
                <w:sz w:val="24"/>
              </w:rPr>
              <w:t>March 23,</w:t>
            </w:r>
          </w:p>
          <w:p>
            <w:pPr>
              <w:pStyle w:val="TableParagraph"/>
              <w:ind w:left="266" w:right="262"/>
              <w:rPr>
                <w:sz w:val="24"/>
              </w:rPr>
            </w:pPr>
            <w:r>
              <w:rPr>
                <w:sz w:val="24"/>
              </w:rPr>
              <w:t>2032</w:t>
            </w:r>
          </w:p>
        </w:tc>
      </w:tr>
      <w:tr>
        <w:trPr>
          <w:trHeight w:val="632" w:hRule="atLeast"/>
        </w:trPr>
        <w:tc>
          <w:tcPr>
            <w:tcW w:w="3694" w:type="dxa"/>
          </w:tcPr>
          <w:p>
            <w:pPr>
              <w:pStyle w:val="TableParagraph"/>
              <w:spacing w:before="180"/>
              <w:ind w:left="297" w:right="290"/>
              <w:rPr>
                <w:sz w:val="24"/>
              </w:rPr>
            </w:pPr>
            <w:r>
              <w:rPr>
                <w:sz w:val="24"/>
              </w:rPr>
              <w:t>Fish Harbor</w:t>
            </w:r>
          </w:p>
        </w:tc>
        <w:tc>
          <w:tcPr>
            <w:tcW w:w="1310" w:type="dxa"/>
          </w:tcPr>
          <w:p>
            <w:pPr>
              <w:pStyle w:val="TableParagraph"/>
              <w:spacing w:before="180"/>
              <w:ind w:left="86" w:right="79"/>
              <w:rPr>
                <w:sz w:val="24"/>
              </w:rPr>
            </w:pPr>
            <w:r>
              <w:rPr>
                <w:sz w:val="24"/>
              </w:rPr>
              <w:t>--</w:t>
            </w:r>
          </w:p>
        </w:tc>
        <w:tc>
          <w:tcPr>
            <w:tcW w:w="1456" w:type="dxa"/>
          </w:tcPr>
          <w:p>
            <w:pPr>
              <w:pStyle w:val="TableParagraph"/>
              <w:spacing w:before="180"/>
              <w:ind w:left="105" w:right="101"/>
              <w:rPr>
                <w:sz w:val="24"/>
              </w:rPr>
            </w:pPr>
            <w:r>
              <w:rPr>
                <w:sz w:val="24"/>
              </w:rPr>
              <w:t>--</w:t>
            </w:r>
          </w:p>
        </w:tc>
        <w:tc>
          <w:tcPr>
            <w:tcW w:w="1250" w:type="dxa"/>
          </w:tcPr>
          <w:p>
            <w:pPr>
              <w:pStyle w:val="TableParagraph"/>
              <w:spacing w:before="180"/>
              <w:ind w:left="135" w:right="129"/>
              <w:rPr>
                <w:sz w:val="24"/>
              </w:rPr>
            </w:pPr>
            <w:r>
              <w:rPr>
                <w:sz w:val="24"/>
              </w:rPr>
              <w:t>0.15</w:t>
            </w:r>
          </w:p>
        </w:tc>
        <w:tc>
          <w:tcPr>
            <w:tcW w:w="1648" w:type="dxa"/>
          </w:tcPr>
          <w:p>
            <w:pPr>
              <w:pStyle w:val="TableParagraph"/>
              <w:spacing w:before="41"/>
              <w:ind w:left="266" w:right="263"/>
              <w:rPr>
                <w:sz w:val="24"/>
              </w:rPr>
            </w:pPr>
            <w:r>
              <w:rPr>
                <w:sz w:val="24"/>
              </w:rPr>
              <w:t>March 23,</w:t>
            </w:r>
          </w:p>
          <w:p>
            <w:pPr>
              <w:pStyle w:val="TableParagraph"/>
              <w:ind w:left="266" w:right="262"/>
              <w:rPr>
                <w:sz w:val="24"/>
              </w:rPr>
            </w:pPr>
            <w:r>
              <w:rPr>
                <w:sz w:val="24"/>
              </w:rPr>
              <w:t>2032</w:t>
            </w:r>
          </w:p>
        </w:tc>
      </w:tr>
      <w:tr>
        <w:trPr>
          <w:trHeight w:val="1080" w:hRule="atLeast"/>
        </w:trPr>
        <w:tc>
          <w:tcPr>
            <w:tcW w:w="9358" w:type="dxa"/>
            <w:gridSpan w:val="5"/>
          </w:tcPr>
          <w:p>
            <w:pPr>
              <w:pStyle w:val="TableParagraph"/>
              <w:spacing w:before="62"/>
              <w:ind w:left="107"/>
              <w:jc w:val="left"/>
              <w:rPr>
                <w:sz w:val="20"/>
              </w:rPr>
            </w:pPr>
            <w:r>
              <w:rPr>
                <w:sz w:val="20"/>
                <w:u w:val="single"/>
              </w:rPr>
              <w:t>Table Note</w:t>
            </w:r>
          </w:p>
          <w:p>
            <w:pPr>
              <w:pStyle w:val="TableParagraph"/>
              <w:spacing w:before="59"/>
              <w:ind w:left="107" w:right="361"/>
              <w:jc w:val="left"/>
              <w:rPr>
                <w:sz w:val="20"/>
              </w:rPr>
            </w:pPr>
            <w:r>
              <w:rPr>
                <w:sz w:val="20"/>
              </w:rPr>
              <w:t>See section 2.2.2.2.6 of Attachment E – Monitoring and Reporting Program for an alternative procedure where collection of suspended sediment from stormwater samples with sufficient yields to perform analysis required is not feasible.</w:t>
            </w:r>
          </w:p>
        </w:tc>
      </w:tr>
    </w:tbl>
    <w:p>
      <w:pPr>
        <w:spacing w:after="0"/>
        <w:jc w:val="left"/>
        <w:rPr>
          <w:sz w:val="20"/>
        </w:rPr>
        <w:sectPr>
          <w:pgSz w:w="12240" w:h="15840"/>
          <w:pgMar w:header="728" w:footer="788" w:top="1540" w:bottom="980" w:left="1160" w:right="420"/>
        </w:sectPr>
      </w:pPr>
    </w:p>
    <w:p>
      <w:pPr>
        <w:pStyle w:val="BodyText"/>
        <w:spacing w:before="11"/>
        <w:rPr>
          <w:b/>
          <w:sz w:val="15"/>
        </w:rPr>
      </w:pPr>
    </w:p>
    <w:p>
      <w:pPr>
        <w:pStyle w:val="Heading1"/>
        <w:numPr>
          <w:ilvl w:val="0"/>
          <w:numId w:val="4"/>
        </w:numPr>
        <w:tabs>
          <w:tab w:pos="640" w:val="left" w:leader="none"/>
        </w:tabs>
        <w:spacing w:line="240" w:lineRule="auto" w:before="92" w:after="0"/>
        <w:ind w:left="640" w:right="2393" w:hanging="360"/>
        <w:jc w:val="left"/>
      </w:pPr>
      <w:bookmarkStart w:name="_TOC_250022" w:id="30"/>
      <w:r>
        <w:rPr/>
        <w:t>COMPLIANCE OPTIONS FOR WATER QUALITY BASED</w:t>
      </w:r>
      <w:r>
        <w:rPr>
          <w:spacing w:val="-29"/>
        </w:rPr>
        <w:t> </w:t>
      </w:r>
      <w:bookmarkEnd w:id="30"/>
      <w:r>
        <w:rPr/>
        <w:t>EFFLUENT LIMITATIONS.</w:t>
      </w:r>
    </w:p>
    <w:p>
      <w:pPr>
        <w:pStyle w:val="BodyText"/>
        <w:rPr>
          <w:b/>
        </w:rPr>
      </w:pPr>
    </w:p>
    <w:p>
      <w:pPr>
        <w:pStyle w:val="BodyText"/>
        <w:ind w:left="639" w:right="1676"/>
      </w:pPr>
      <w:r>
        <w:rPr/>
        <w:t>In complying with the water quality-based effluent limitations in section 7.2, the Discharger must choose one of the following three options:</w:t>
      </w:r>
    </w:p>
    <w:p>
      <w:pPr>
        <w:pStyle w:val="BodyText"/>
        <w:spacing w:before="10"/>
        <w:rPr>
          <w:sz w:val="20"/>
        </w:rPr>
      </w:pPr>
    </w:p>
    <w:p>
      <w:pPr>
        <w:pStyle w:val="Heading1"/>
        <w:numPr>
          <w:ilvl w:val="1"/>
          <w:numId w:val="4"/>
        </w:numPr>
        <w:tabs>
          <w:tab w:pos="871" w:val="left" w:leader="none"/>
        </w:tabs>
        <w:spacing w:line="240" w:lineRule="auto" w:before="0" w:after="0"/>
        <w:ind w:left="870" w:right="1800" w:hanging="591"/>
        <w:jc w:val="left"/>
      </w:pPr>
      <w:r>
        <w:rPr/>
        <w:t>Compliance Option 1 – Agreement with Local Watershed</w:t>
      </w:r>
      <w:r>
        <w:rPr>
          <w:spacing w:val="-27"/>
        </w:rPr>
        <w:t> </w:t>
      </w:r>
      <w:r>
        <w:rPr/>
        <w:t>Management Group to Fund Regional</w:t>
      </w:r>
      <w:r>
        <w:rPr>
          <w:spacing w:val="-1"/>
        </w:rPr>
        <w:t> </w:t>
      </w:r>
      <w:r>
        <w:rPr/>
        <w:t>Project.</w:t>
      </w:r>
    </w:p>
    <w:p>
      <w:pPr>
        <w:pStyle w:val="BodyText"/>
        <w:rPr>
          <w:b/>
        </w:rPr>
      </w:pPr>
    </w:p>
    <w:p>
      <w:pPr>
        <w:pStyle w:val="BodyText"/>
        <w:ind w:left="870" w:right="1037"/>
      </w:pPr>
      <w:r>
        <w:rPr/>
        <w:t>Dischargers shall enter into a legally binding agreement with the local Watershed Management Group to fund, or partially fund, a downstream regional project</w:t>
      </w:r>
      <w:r>
        <w:rPr>
          <w:position w:val="8"/>
          <w:sz w:val="16"/>
        </w:rPr>
        <w:t>5 </w:t>
      </w:r>
      <w:r>
        <w:rPr/>
        <w:t>that is included in the group</w:t>
      </w:r>
      <w:r>
        <w:rPr>
          <w:b/>
        </w:rPr>
        <w:t>’</w:t>
      </w:r>
      <w:r>
        <w:rPr/>
        <w:t>s Watershed Management Program, which has been developed to implement requirements of the Regional MS4 Permit and approved by</w:t>
      </w:r>
      <w:r>
        <w:rPr>
          <w:spacing w:val="-5"/>
        </w:rPr>
        <w:t> </w:t>
      </w:r>
      <w:r>
        <w:rPr/>
        <w:t>the</w:t>
      </w:r>
      <w:r>
        <w:rPr>
          <w:spacing w:val="-4"/>
        </w:rPr>
        <w:t> </w:t>
      </w:r>
      <w:r>
        <w:rPr/>
        <w:t>Los</w:t>
      </w:r>
      <w:r>
        <w:rPr>
          <w:spacing w:val="-4"/>
        </w:rPr>
        <w:t> </w:t>
      </w:r>
      <w:r>
        <w:rPr/>
        <w:t>Angeles</w:t>
      </w:r>
      <w:r>
        <w:rPr>
          <w:spacing w:val="-5"/>
        </w:rPr>
        <w:t> </w:t>
      </w:r>
      <w:r>
        <w:rPr/>
        <w:t>Water</w:t>
      </w:r>
      <w:r>
        <w:rPr>
          <w:spacing w:val="-4"/>
        </w:rPr>
        <w:t> </w:t>
      </w:r>
      <w:r>
        <w:rPr/>
        <w:t>Board.</w:t>
      </w:r>
      <w:r>
        <w:rPr>
          <w:spacing w:val="-4"/>
        </w:rPr>
        <w:t> </w:t>
      </w:r>
      <w:r>
        <w:rPr/>
        <w:t>A</w:t>
      </w:r>
      <w:r>
        <w:rPr>
          <w:spacing w:val="-5"/>
        </w:rPr>
        <w:t> </w:t>
      </w:r>
      <w:r>
        <w:rPr/>
        <w:t>Discharger</w:t>
      </w:r>
      <w:r>
        <w:rPr>
          <w:spacing w:val="-4"/>
        </w:rPr>
        <w:t> </w:t>
      </w:r>
      <w:r>
        <w:rPr/>
        <w:t>may</w:t>
      </w:r>
      <w:r>
        <w:rPr>
          <w:spacing w:val="-4"/>
        </w:rPr>
        <w:t> </w:t>
      </w:r>
      <w:r>
        <w:rPr/>
        <w:t>only</w:t>
      </w:r>
      <w:r>
        <w:rPr>
          <w:spacing w:val="-4"/>
        </w:rPr>
        <w:t> </w:t>
      </w:r>
      <w:r>
        <w:rPr/>
        <w:t>participate</w:t>
      </w:r>
      <w:r>
        <w:rPr>
          <w:spacing w:val="-5"/>
        </w:rPr>
        <w:t> </w:t>
      </w:r>
      <w:r>
        <w:rPr/>
        <w:t>in</w:t>
      </w:r>
      <w:r>
        <w:rPr>
          <w:spacing w:val="-4"/>
        </w:rPr>
        <w:t> </w:t>
      </w:r>
      <w:r>
        <w:rPr/>
        <w:t>Compliance Option 1 if the CII facility is included in the area modeled by the reasonable assurance analysis supporting the group’s Watershed Management Program. If there is no existing or planned downstream regional project in the Watershed Management Program, the Watershed Management Group shall identify an upstream project. The determination of availability of a downstream regional project shall not consider the cost. Specific details related to the funded project shall be documented in the agreement as specified in this section and submitted as described in section 9.1 of this Order. At a minimum, the regional project shall be adequately sized to address the NSWD and stormwater volume that would otherwise need to be addressed onsite under Compliance Options 2 or 3. The funding level or regional project participation fee structure for participation under Compliance Option 1 may be determined on a project basis or larger scale (e.g., watershed or subwatershed basis) consistent with the estimated pollution reduction from regional projects in the Watershed Management Programs. The funding level must be proportional to the sum of NSWD volume and onsite stormwater volume relative to the total regional project, watershed, or subwatershed stormwater capacity, modified by pollutant level potential based on activity type, and can be expressed as the following</w:t>
      </w:r>
      <w:r>
        <w:rPr>
          <w:spacing w:val="-5"/>
        </w:rPr>
        <w:t> </w:t>
      </w:r>
      <w:r>
        <w:rPr/>
        <w:t>formula:</w:t>
      </w:r>
    </w:p>
    <w:p>
      <w:pPr>
        <w:pStyle w:val="BodyText"/>
        <w:spacing w:before="7"/>
        <w:rPr>
          <w:sz w:val="12"/>
        </w:rPr>
      </w:pPr>
    </w:p>
    <w:p>
      <w:pPr>
        <w:spacing w:after="0"/>
        <w:rPr>
          <w:sz w:val="12"/>
        </w:rPr>
        <w:sectPr>
          <w:pgSz w:w="12240" w:h="15840"/>
          <w:pgMar w:header="728" w:footer="788" w:top="1540" w:bottom="980" w:left="1160" w:right="420"/>
        </w:sectPr>
      </w:pPr>
    </w:p>
    <w:p>
      <w:pPr>
        <w:tabs>
          <w:tab w:pos="3450" w:val="left" w:leader="none"/>
        </w:tabs>
        <w:spacing w:line="180" w:lineRule="auto" w:before="112"/>
        <w:ind w:left="1301" w:right="0" w:firstLine="0"/>
        <w:jc w:val="left"/>
        <w:rPr>
          <w:rFonts w:ascii="Cambria" w:hAnsi="Cambria" w:eastAsia="Cambria"/>
          <w:i/>
          <w:sz w:val="24"/>
        </w:rPr>
      </w:pPr>
      <w:r>
        <w:rPr/>
        <w:pict>
          <v:line style="position:absolute;mso-position-horizontal-relative:page;mso-position-vertical-relative:paragraph;z-index:-258622464" from="223.619995pt,22.071753pt" to="387.419995pt,22.071753pt" stroked="true" strokeweight=".78pt" strokecolor="#000000">
            <v:stroke dashstyle="solid"/>
            <w10:wrap type="none"/>
          </v:line>
        </w:pict>
      </w:r>
      <w:r>
        <w:rPr>
          <w:rFonts w:ascii="Cambria" w:hAnsi="Cambria" w:eastAsia="Cambria"/>
          <w:i/>
          <w:spacing w:val="-1"/>
          <w:w w:val="92"/>
          <w:position w:val="-17"/>
          <w:sz w:val="24"/>
        </w:rPr>
        <w:t>𝑭𝒖𝒏𝒅𝒊𝒏</w:t>
      </w:r>
      <w:r>
        <w:rPr>
          <w:rFonts w:ascii="Cambria" w:hAnsi="Cambria" w:eastAsia="Cambria"/>
          <w:i/>
          <w:w w:val="92"/>
          <w:position w:val="-17"/>
          <w:sz w:val="24"/>
        </w:rPr>
        <w:t>𝒈</w:t>
      </w:r>
      <w:r>
        <w:rPr>
          <w:rFonts w:ascii="Cambria" w:hAnsi="Cambria" w:eastAsia="Cambria"/>
          <w:i/>
          <w:position w:val="-17"/>
          <w:sz w:val="24"/>
        </w:rPr>
        <w:t> </w:t>
      </w:r>
      <w:r>
        <w:rPr>
          <w:rFonts w:ascii="Cambria" w:hAnsi="Cambria" w:eastAsia="Cambria"/>
          <w:i/>
          <w:w w:val="80"/>
          <w:position w:val="-17"/>
          <w:sz w:val="24"/>
        </w:rPr>
        <w:t>𝑳𝒆𝒗𝒆𝒍</w:t>
      </w:r>
      <w:r>
        <w:rPr>
          <w:rFonts w:ascii="Cambria" w:hAnsi="Cambria" w:eastAsia="Cambria"/>
          <w:i/>
          <w:spacing w:val="13"/>
          <w:position w:val="-17"/>
          <w:sz w:val="24"/>
        </w:rPr>
        <w:t> </w:t>
      </w:r>
      <w:r>
        <w:rPr>
          <w:rFonts w:ascii="Cambria" w:hAnsi="Cambria" w:eastAsia="Cambria"/>
          <w:i/>
          <w:w w:val="106"/>
          <w:position w:val="-17"/>
          <w:sz w:val="24"/>
        </w:rPr>
        <w:t>∝</w:t>
      </w:r>
      <w:r>
        <w:rPr>
          <w:rFonts w:ascii="Cambria" w:hAnsi="Cambria" w:eastAsia="Cambria"/>
          <w:i/>
          <w:position w:val="-17"/>
          <w:sz w:val="24"/>
        </w:rPr>
        <w:tab/>
      </w:r>
      <w:r>
        <w:rPr>
          <w:rFonts w:ascii="Cambria" w:hAnsi="Cambria" w:eastAsia="Cambria"/>
          <w:i/>
          <w:spacing w:val="-1"/>
          <w:w w:val="94"/>
          <w:sz w:val="24"/>
        </w:rPr>
        <w:t>𝑽𝒐𝒍𝒖𝒎</w:t>
      </w:r>
      <w:r>
        <w:rPr>
          <w:rFonts w:ascii="Cambria" w:hAnsi="Cambria" w:eastAsia="Cambria"/>
          <w:i/>
          <w:w w:val="94"/>
          <w:sz w:val="24"/>
        </w:rPr>
        <w:t>𝒆</w:t>
      </w:r>
      <w:r>
        <w:rPr>
          <w:rFonts w:ascii="Cambria" w:hAnsi="Cambria" w:eastAsia="Cambria"/>
          <w:i/>
          <w:w w:val="107"/>
          <w:sz w:val="24"/>
          <w:vertAlign w:val="subscript"/>
        </w:rPr>
        <w:t>𝑵𝑺</w:t>
      </w:r>
      <w:r>
        <w:rPr>
          <w:rFonts w:ascii="Cambria" w:hAnsi="Cambria" w:eastAsia="Cambria"/>
          <w:i/>
          <w:spacing w:val="-1"/>
          <w:w w:val="107"/>
          <w:sz w:val="24"/>
          <w:vertAlign w:val="subscript"/>
        </w:rPr>
        <w:t>𝑾</w:t>
      </w:r>
      <w:r>
        <w:rPr>
          <w:rFonts w:ascii="Cambria" w:hAnsi="Cambria" w:eastAsia="Cambria"/>
          <w:i/>
          <w:w w:val="104"/>
          <w:sz w:val="24"/>
          <w:vertAlign w:val="subscript"/>
        </w:rPr>
        <w:t>𝑫</w:t>
      </w:r>
      <w:r>
        <w:rPr>
          <w:rFonts w:ascii="Cambria" w:hAnsi="Cambria" w:eastAsia="Cambria"/>
          <w:i/>
          <w:spacing w:val="8"/>
          <w:sz w:val="24"/>
          <w:vertAlign w:val="baseline"/>
        </w:rPr>
        <w:t> </w:t>
      </w:r>
      <w:r>
        <w:rPr>
          <w:rFonts w:ascii="Cambria" w:hAnsi="Cambria" w:eastAsia="Cambria"/>
          <w:i/>
          <w:w w:val="141"/>
          <w:sz w:val="24"/>
          <w:vertAlign w:val="baseline"/>
        </w:rPr>
        <w:t>+</w:t>
      </w:r>
      <w:r>
        <w:rPr>
          <w:rFonts w:ascii="Cambria" w:hAnsi="Cambria" w:eastAsia="Cambria"/>
          <w:i/>
          <w:sz w:val="24"/>
          <w:vertAlign w:val="baseline"/>
        </w:rPr>
        <w:t> </w:t>
      </w:r>
      <w:r>
        <w:rPr>
          <w:rFonts w:ascii="Cambria" w:hAnsi="Cambria" w:eastAsia="Cambria"/>
          <w:i/>
          <w:w w:val="98"/>
          <w:sz w:val="24"/>
          <w:vertAlign w:val="baseline"/>
        </w:rPr>
        <w:t>𝑽</w:t>
      </w:r>
      <w:r>
        <w:rPr>
          <w:rFonts w:ascii="Cambria" w:hAnsi="Cambria" w:eastAsia="Cambria"/>
          <w:i/>
          <w:spacing w:val="-1"/>
          <w:w w:val="87"/>
          <w:sz w:val="24"/>
          <w:vertAlign w:val="baseline"/>
        </w:rPr>
        <w:t>𝒐</w:t>
      </w:r>
      <w:r>
        <w:rPr>
          <w:rFonts w:ascii="Cambria" w:hAnsi="Cambria" w:eastAsia="Cambria"/>
          <w:i/>
          <w:spacing w:val="-1"/>
          <w:w w:val="56"/>
          <w:sz w:val="24"/>
          <w:vertAlign w:val="baseline"/>
        </w:rPr>
        <w:t>𝒍</w:t>
      </w:r>
      <w:r>
        <w:rPr>
          <w:rFonts w:ascii="Cambria" w:hAnsi="Cambria" w:eastAsia="Cambria"/>
          <w:i/>
          <w:w w:val="98"/>
          <w:sz w:val="24"/>
          <w:vertAlign w:val="baseline"/>
        </w:rPr>
        <w:t>𝒖</w:t>
      </w:r>
      <w:r>
        <w:rPr>
          <w:rFonts w:ascii="Cambria" w:hAnsi="Cambria" w:eastAsia="Cambria"/>
          <w:i/>
          <w:spacing w:val="-1"/>
          <w:w w:val="140"/>
          <w:sz w:val="24"/>
          <w:vertAlign w:val="baseline"/>
        </w:rPr>
        <w:t>𝒎</w:t>
      </w:r>
      <w:r>
        <w:rPr>
          <w:rFonts w:ascii="Cambria" w:hAnsi="Cambria" w:eastAsia="Cambria"/>
          <w:i/>
          <w:w w:val="83"/>
          <w:sz w:val="24"/>
          <w:vertAlign w:val="baseline"/>
        </w:rPr>
        <w:t>𝒆</w:t>
      </w:r>
      <w:r>
        <w:rPr>
          <w:rFonts w:ascii="Cambria" w:hAnsi="Cambria" w:eastAsia="Cambria"/>
          <w:i/>
          <w:w w:val="106"/>
          <w:sz w:val="24"/>
          <w:vertAlign w:val="subscript"/>
        </w:rPr>
        <w:t>𝑺𝑾𝑫</w:t>
      </w:r>
    </w:p>
    <w:p>
      <w:pPr>
        <w:spacing w:line="278" w:lineRule="exact" w:before="0"/>
        <w:ind w:left="3312" w:right="0" w:firstLine="0"/>
        <w:jc w:val="left"/>
        <w:rPr>
          <w:rFonts w:ascii="Cambria" w:eastAsia="Cambria"/>
          <w:sz w:val="17"/>
        </w:rPr>
      </w:pPr>
      <w:r>
        <w:rPr>
          <w:rFonts w:ascii="Cambria" w:eastAsia="Cambria"/>
          <w:i/>
          <w:w w:val="85"/>
          <w:position w:val="7"/>
          <w:sz w:val="24"/>
        </w:rPr>
        <w:t>𝑽𝒐𝒍𝒖𝒎𝒆</w:t>
      </w:r>
      <w:r>
        <w:rPr>
          <w:rFonts w:ascii="Cambria" w:eastAsia="Cambria"/>
          <w:i/>
          <w:w w:val="85"/>
          <w:sz w:val="17"/>
        </w:rPr>
        <w:t>𝑻𝒐𝒕𝒂𝒍 𝒔𝒕𝒐𝒓𝒎𝒘𝒂𝒕𝒆𝒓 𝒄𝒂𝒑𝒂𝒄𝒊𝒕𝒚</w:t>
      </w:r>
      <w:r>
        <w:rPr>
          <w:rFonts w:ascii="Cambria" w:eastAsia="Cambria"/>
          <w:w w:val="85"/>
          <w:sz w:val="17"/>
        </w:rPr>
        <w:t>6</w:t>
      </w:r>
    </w:p>
    <w:p>
      <w:pPr>
        <w:pStyle w:val="BodyText"/>
        <w:rPr>
          <w:rFonts w:ascii="Cambria"/>
        </w:rPr>
      </w:pPr>
      <w:r>
        <w:rPr/>
        <w:br w:type="column"/>
      </w:r>
      <w:r>
        <w:rPr>
          <w:rFonts w:ascii="Cambria"/>
        </w:rPr>
      </w:r>
    </w:p>
    <w:p>
      <w:pPr>
        <w:spacing w:before="0"/>
        <w:ind w:left="8" w:right="0" w:firstLine="0"/>
        <w:jc w:val="left"/>
        <w:rPr>
          <w:rFonts w:ascii="Cambria" w:eastAsia="Cambria"/>
          <w:i/>
          <w:sz w:val="24"/>
        </w:rPr>
      </w:pPr>
      <w:r>
        <w:rPr>
          <w:rFonts w:ascii="Cambria" w:eastAsia="Cambria"/>
          <w:i/>
          <w:w w:val="85"/>
          <w:sz w:val="24"/>
        </w:rPr>
        <w:t>𝐱 𝐏𝐨𝐥𝐥𝐮𝐭𝐚𝐧𝐭 𝐥𝐞𝐯𝐞𝐥 𝐟𝐚𝐜𝐭𝐨𝐫</w:t>
      </w:r>
    </w:p>
    <w:p>
      <w:pPr>
        <w:spacing w:after="0"/>
        <w:jc w:val="left"/>
        <w:rPr>
          <w:rFonts w:ascii="Cambria" w:eastAsia="Cambria"/>
          <w:sz w:val="24"/>
        </w:rPr>
        <w:sectPr>
          <w:type w:val="continuous"/>
          <w:pgSz w:w="12240" w:h="15840"/>
          <w:pgMar w:top="1200" w:bottom="980" w:left="1160" w:right="420"/>
          <w:cols w:num="2" w:equalWidth="0">
            <w:col w:w="6581" w:space="40"/>
            <w:col w:w="4039"/>
          </w:cols>
        </w:sectPr>
      </w:pPr>
    </w:p>
    <w:p>
      <w:pPr>
        <w:pStyle w:val="BodyText"/>
        <w:ind w:left="870"/>
      </w:pPr>
      <w:r>
        <w:rPr/>
        <w:t>Where:</w:t>
      </w:r>
    </w:p>
    <w:p>
      <w:pPr>
        <w:pStyle w:val="BodyText"/>
        <w:ind w:left="870"/>
      </w:pPr>
      <w:r>
        <w:rPr/>
        <w:t>VolumeNSWD = Authorized non-stormwater discharge volume</w:t>
      </w:r>
    </w:p>
    <w:p>
      <w:pPr>
        <w:pStyle w:val="BodyText"/>
        <w:ind w:left="870" w:right="1452"/>
      </w:pPr>
      <w:r>
        <w:rPr/>
        <w:t>VolumeSWD = Onsite stormwater runoff volume produced up to and during an 85th percentile 24-hour storm event.</w:t>
      </w:r>
    </w:p>
    <w:p>
      <w:pPr>
        <w:pStyle w:val="BodyText"/>
      </w:pPr>
    </w:p>
    <w:p>
      <w:pPr>
        <w:pStyle w:val="BodyText"/>
        <w:ind w:left="870" w:right="1035"/>
      </w:pPr>
      <w:r>
        <w:rPr/>
        <w:t>Since the volume of runoff is proportional to imperviousness, imperviousness or another equivalent metric, which is easily determined, may be used in lieu of volume.</w:t>
      </w:r>
    </w:p>
    <w:p>
      <w:pPr>
        <w:pStyle w:val="BodyText"/>
        <w:spacing w:before="5"/>
        <w:rPr>
          <w:sz w:val="20"/>
        </w:rPr>
      </w:pPr>
    </w:p>
    <w:p>
      <w:pPr>
        <w:pStyle w:val="ListParagraph"/>
        <w:numPr>
          <w:ilvl w:val="2"/>
          <w:numId w:val="4"/>
        </w:numPr>
        <w:tabs>
          <w:tab w:pos="1100" w:val="left" w:leader="none"/>
          <w:tab w:pos="1101" w:val="left" w:leader="none"/>
        </w:tabs>
        <w:spacing w:line="240" w:lineRule="auto" w:before="0" w:after="0"/>
        <w:ind w:left="1100" w:right="0" w:hanging="822"/>
        <w:jc w:val="left"/>
        <w:rPr>
          <w:sz w:val="16"/>
        </w:rPr>
      </w:pPr>
      <w:r>
        <w:rPr>
          <w:sz w:val="24"/>
        </w:rPr>
        <w:t>See Attachment H for a list of current Watershed Management</w:t>
      </w:r>
      <w:r>
        <w:rPr>
          <w:spacing w:val="-8"/>
          <w:sz w:val="24"/>
        </w:rPr>
        <w:t> </w:t>
      </w:r>
      <w:r>
        <w:rPr>
          <w:sz w:val="24"/>
        </w:rPr>
        <w:t>Programs.</w:t>
      </w:r>
      <w:r>
        <w:rPr>
          <w:position w:val="8"/>
          <w:sz w:val="16"/>
        </w:rPr>
        <w:t>7</w:t>
      </w:r>
    </w:p>
    <w:p>
      <w:pPr>
        <w:spacing w:after="0" w:line="240" w:lineRule="auto"/>
        <w:jc w:val="left"/>
        <w:rPr>
          <w:sz w:val="16"/>
        </w:rPr>
        <w:sectPr>
          <w:type w:val="continuous"/>
          <w:pgSz w:w="12240" w:h="15840"/>
          <w:pgMar w:top="1200" w:bottom="980" w:left="1160" w:right="420"/>
        </w:sectPr>
      </w:pPr>
    </w:p>
    <w:p>
      <w:pPr>
        <w:pStyle w:val="BodyText"/>
        <w:spacing w:before="11"/>
        <w:rPr>
          <w:sz w:val="15"/>
        </w:rPr>
      </w:pPr>
    </w:p>
    <w:p>
      <w:pPr>
        <w:pStyle w:val="ListParagraph"/>
        <w:numPr>
          <w:ilvl w:val="2"/>
          <w:numId w:val="4"/>
        </w:numPr>
        <w:tabs>
          <w:tab w:pos="1100" w:val="left" w:leader="none"/>
          <w:tab w:pos="1101" w:val="left" w:leader="none"/>
        </w:tabs>
        <w:spacing w:line="240" w:lineRule="auto" w:before="92" w:after="0"/>
        <w:ind w:left="1100" w:right="1324" w:hanging="821"/>
        <w:jc w:val="left"/>
        <w:rPr>
          <w:sz w:val="24"/>
        </w:rPr>
      </w:pPr>
      <w:r>
        <w:rPr>
          <w:sz w:val="24"/>
        </w:rPr>
        <w:t>Funding of a regional project includes entering into a signed, legally binding agreement with the Watershed Management Group or its fiduciary agent. The Discharger shall comply with the signed agreement, which may include, but is not limited</w:t>
      </w:r>
      <w:r>
        <w:rPr>
          <w:spacing w:val="-1"/>
          <w:sz w:val="24"/>
        </w:rPr>
        <w:t> </w:t>
      </w:r>
      <w:r>
        <w:rPr>
          <w:sz w:val="24"/>
        </w:rPr>
        <w:t>to:</w:t>
      </w:r>
    </w:p>
    <w:p>
      <w:pPr>
        <w:pStyle w:val="BodyText"/>
        <w:spacing w:before="10"/>
        <w:rPr>
          <w:sz w:val="20"/>
        </w:rPr>
      </w:pPr>
    </w:p>
    <w:p>
      <w:pPr>
        <w:pStyle w:val="ListParagraph"/>
        <w:numPr>
          <w:ilvl w:val="3"/>
          <w:numId w:val="4"/>
        </w:numPr>
        <w:tabs>
          <w:tab w:pos="1359" w:val="left" w:leader="none"/>
          <w:tab w:pos="1360" w:val="left" w:leader="none"/>
        </w:tabs>
        <w:spacing w:line="240" w:lineRule="auto" w:before="0" w:after="0"/>
        <w:ind w:left="1360" w:right="1308" w:hanging="1080"/>
        <w:jc w:val="left"/>
        <w:rPr>
          <w:sz w:val="24"/>
        </w:rPr>
      </w:pPr>
      <w:r>
        <w:rPr>
          <w:sz w:val="24"/>
        </w:rPr>
        <w:t>Payments of any applicable fees and/or alternative means of</w:t>
      </w:r>
      <w:r>
        <w:rPr>
          <w:spacing w:val="-47"/>
          <w:sz w:val="24"/>
        </w:rPr>
        <w:t> </w:t>
      </w:r>
      <w:r>
        <w:rPr>
          <w:sz w:val="24"/>
        </w:rPr>
        <w:t>compensation (easements or property</w:t>
      </w:r>
      <w:r>
        <w:rPr>
          <w:spacing w:val="-1"/>
          <w:sz w:val="24"/>
        </w:rPr>
        <w:t> </w:t>
      </w:r>
      <w:r>
        <w:rPr>
          <w:sz w:val="24"/>
        </w:rPr>
        <w:t>exchanges);</w:t>
      </w:r>
    </w:p>
    <w:p>
      <w:pPr>
        <w:pStyle w:val="BodyText"/>
        <w:spacing w:before="10"/>
        <w:rPr>
          <w:sz w:val="20"/>
        </w:rPr>
      </w:pPr>
    </w:p>
    <w:p>
      <w:pPr>
        <w:pStyle w:val="ListParagraph"/>
        <w:numPr>
          <w:ilvl w:val="3"/>
          <w:numId w:val="4"/>
        </w:numPr>
        <w:tabs>
          <w:tab w:pos="1359" w:val="left" w:leader="none"/>
          <w:tab w:pos="1360" w:val="left" w:leader="none"/>
        </w:tabs>
        <w:spacing w:line="240" w:lineRule="auto" w:before="0" w:after="0"/>
        <w:ind w:left="1359" w:right="0" w:hanging="1080"/>
        <w:jc w:val="left"/>
        <w:rPr>
          <w:sz w:val="24"/>
        </w:rPr>
      </w:pPr>
      <w:r>
        <w:rPr>
          <w:sz w:val="24"/>
        </w:rPr>
        <w:t>Identification of project(s)</w:t>
      </w:r>
      <w:r>
        <w:rPr>
          <w:spacing w:val="-2"/>
          <w:sz w:val="24"/>
        </w:rPr>
        <w:t> </w:t>
      </w:r>
      <w:r>
        <w:rPr>
          <w:sz w:val="24"/>
        </w:rPr>
        <w:t>funded;</w:t>
      </w:r>
    </w:p>
    <w:p>
      <w:pPr>
        <w:pStyle w:val="BodyText"/>
        <w:spacing w:before="10"/>
        <w:rPr>
          <w:sz w:val="20"/>
        </w:rPr>
      </w:pPr>
    </w:p>
    <w:p>
      <w:pPr>
        <w:pStyle w:val="ListParagraph"/>
        <w:numPr>
          <w:ilvl w:val="3"/>
          <w:numId w:val="4"/>
        </w:numPr>
        <w:tabs>
          <w:tab w:pos="1359" w:val="left" w:leader="none"/>
          <w:tab w:pos="1360" w:val="left" w:leader="none"/>
        </w:tabs>
        <w:spacing w:line="240" w:lineRule="auto" w:before="0" w:after="0"/>
        <w:ind w:left="1359" w:right="0" w:hanging="1081"/>
        <w:jc w:val="left"/>
        <w:rPr>
          <w:sz w:val="24"/>
        </w:rPr>
      </w:pPr>
      <w:r>
        <w:rPr>
          <w:sz w:val="24"/>
        </w:rPr>
        <w:t>The specified timeframe for the</w:t>
      </w:r>
      <w:r>
        <w:rPr>
          <w:spacing w:val="-2"/>
          <w:sz w:val="24"/>
        </w:rPr>
        <w:t> </w:t>
      </w:r>
      <w:r>
        <w:rPr>
          <w:sz w:val="24"/>
        </w:rPr>
        <w:t>agreement;</w:t>
      </w:r>
    </w:p>
    <w:p>
      <w:pPr>
        <w:pStyle w:val="BodyText"/>
        <w:spacing w:before="10"/>
        <w:rPr>
          <w:sz w:val="20"/>
        </w:rPr>
      </w:pPr>
    </w:p>
    <w:p>
      <w:pPr>
        <w:pStyle w:val="ListParagraph"/>
        <w:numPr>
          <w:ilvl w:val="3"/>
          <w:numId w:val="4"/>
        </w:numPr>
        <w:tabs>
          <w:tab w:pos="1358" w:val="left" w:leader="none"/>
          <w:tab w:pos="1359" w:val="left" w:leader="none"/>
        </w:tabs>
        <w:spacing w:line="240" w:lineRule="auto" w:before="1" w:after="0"/>
        <w:ind w:left="1360" w:right="1455" w:hanging="1080"/>
        <w:jc w:val="left"/>
        <w:rPr>
          <w:sz w:val="24"/>
        </w:rPr>
      </w:pPr>
      <w:r>
        <w:rPr>
          <w:sz w:val="24"/>
        </w:rPr>
        <w:t>For participation in upstream regional projects, an attestation signed by</w:t>
      </w:r>
      <w:r>
        <w:rPr>
          <w:spacing w:val="-46"/>
          <w:sz w:val="24"/>
        </w:rPr>
        <w:t> </w:t>
      </w:r>
      <w:r>
        <w:rPr>
          <w:sz w:val="24"/>
        </w:rPr>
        <w:t>all signatories that no downstream regional project is available;</w:t>
      </w:r>
      <w:r>
        <w:rPr>
          <w:spacing w:val="-17"/>
          <w:sz w:val="24"/>
        </w:rPr>
        <w:t> </w:t>
      </w:r>
      <w:r>
        <w:rPr>
          <w:sz w:val="24"/>
        </w:rPr>
        <w:t>and</w:t>
      </w:r>
    </w:p>
    <w:p>
      <w:pPr>
        <w:pStyle w:val="BodyText"/>
        <w:spacing w:before="9"/>
        <w:rPr>
          <w:sz w:val="20"/>
        </w:rPr>
      </w:pPr>
    </w:p>
    <w:p>
      <w:pPr>
        <w:pStyle w:val="ListParagraph"/>
        <w:numPr>
          <w:ilvl w:val="3"/>
          <w:numId w:val="4"/>
        </w:numPr>
        <w:tabs>
          <w:tab w:pos="1359" w:val="left" w:leader="none"/>
          <w:tab w:pos="1360" w:val="left" w:leader="none"/>
        </w:tabs>
        <w:spacing w:line="240" w:lineRule="auto" w:before="1" w:after="0"/>
        <w:ind w:left="1360" w:right="1091" w:hanging="1080"/>
        <w:jc w:val="left"/>
        <w:rPr>
          <w:sz w:val="24"/>
        </w:rPr>
      </w:pPr>
      <w:r>
        <w:rPr>
          <w:sz w:val="24"/>
        </w:rPr>
        <w:t>Any other provisions agreed upon by the Watershed Management Group and the Discharger as specified in the</w:t>
      </w:r>
      <w:r>
        <w:rPr>
          <w:spacing w:val="-3"/>
          <w:sz w:val="24"/>
        </w:rPr>
        <w:t> </w:t>
      </w:r>
      <w:r>
        <w:rPr>
          <w:sz w:val="24"/>
        </w:rPr>
        <w:t>agreement.</w:t>
      </w:r>
    </w:p>
    <w:p>
      <w:pPr>
        <w:pStyle w:val="BodyText"/>
        <w:spacing w:before="9"/>
        <w:rPr>
          <w:sz w:val="20"/>
        </w:rPr>
      </w:pPr>
    </w:p>
    <w:p>
      <w:pPr>
        <w:pStyle w:val="ListParagraph"/>
        <w:numPr>
          <w:ilvl w:val="2"/>
          <w:numId w:val="4"/>
        </w:numPr>
        <w:tabs>
          <w:tab w:pos="1099" w:val="left" w:leader="none"/>
          <w:tab w:pos="1100" w:val="left" w:leader="none"/>
        </w:tabs>
        <w:spacing w:line="240" w:lineRule="auto" w:before="1" w:after="0"/>
        <w:ind w:left="1100" w:right="1570" w:hanging="821"/>
        <w:jc w:val="left"/>
        <w:rPr>
          <w:sz w:val="24"/>
        </w:rPr>
      </w:pPr>
      <w:r>
        <w:rPr>
          <w:sz w:val="24"/>
        </w:rPr>
        <w:t>Dischargers selecting and in compliance with Compliance Option 3 shall</w:t>
      </w:r>
      <w:r>
        <w:rPr>
          <w:spacing w:val="-46"/>
          <w:sz w:val="24"/>
        </w:rPr>
        <w:t> </w:t>
      </w:r>
      <w:r>
        <w:rPr>
          <w:sz w:val="24"/>
        </w:rPr>
        <w:t>be deemed in compliance with the water quality based effluent limitations established in section 7.2 of this</w:t>
      </w:r>
      <w:r>
        <w:rPr>
          <w:spacing w:val="-2"/>
          <w:sz w:val="24"/>
        </w:rPr>
        <w:t> </w:t>
      </w:r>
      <w:r>
        <w:rPr>
          <w:sz w:val="24"/>
        </w:rPr>
        <w:t>Order.</w:t>
      </w:r>
    </w:p>
    <w:p>
      <w:pPr>
        <w:pStyle w:val="BodyText"/>
        <w:spacing w:before="10"/>
        <w:rPr>
          <w:sz w:val="20"/>
        </w:rPr>
      </w:pPr>
    </w:p>
    <w:p>
      <w:pPr>
        <w:pStyle w:val="ListParagraph"/>
        <w:numPr>
          <w:ilvl w:val="2"/>
          <w:numId w:val="4"/>
        </w:numPr>
        <w:tabs>
          <w:tab w:pos="1100" w:val="left" w:leader="none"/>
          <w:tab w:pos="1101" w:val="left" w:leader="none"/>
        </w:tabs>
        <w:spacing w:line="240" w:lineRule="auto" w:before="0" w:after="0"/>
        <w:ind w:left="1100" w:right="1152" w:hanging="821"/>
        <w:jc w:val="left"/>
        <w:rPr>
          <w:sz w:val="24"/>
        </w:rPr>
      </w:pPr>
      <w:r>
        <w:rPr>
          <w:sz w:val="24"/>
        </w:rPr>
        <w:t>Dischargers prematurely terminating the legally binding agreement with a Watershed Management Group shall notify the Executive Officer at least 30 days prior to the proposed end date. The notice shall include an explanation for the early termination and the replacement Compliance Option Documents for Compliance Option 2 or 3, as</w:t>
      </w:r>
      <w:r>
        <w:rPr>
          <w:spacing w:val="-3"/>
          <w:sz w:val="24"/>
        </w:rPr>
        <w:t> </w:t>
      </w:r>
      <w:r>
        <w:rPr>
          <w:sz w:val="24"/>
        </w:rPr>
        <w:t>appropriate.</w:t>
      </w:r>
    </w:p>
    <w:p>
      <w:pPr>
        <w:pStyle w:val="BodyText"/>
        <w:spacing w:before="10"/>
        <w:rPr>
          <w:sz w:val="20"/>
        </w:rPr>
      </w:pPr>
    </w:p>
    <w:p>
      <w:pPr>
        <w:pStyle w:val="Heading1"/>
        <w:numPr>
          <w:ilvl w:val="1"/>
          <w:numId w:val="9"/>
        </w:numPr>
        <w:tabs>
          <w:tab w:pos="871" w:val="left" w:leader="none"/>
        </w:tabs>
        <w:spacing w:line="240" w:lineRule="auto" w:before="0" w:after="0"/>
        <w:ind w:left="870" w:right="2148" w:hanging="591"/>
        <w:jc w:val="left"/>
      </w:pPr>
      <w:r>
        <w:rPr/>
        <w:t>Compliance Option 2 - Facility-Specific Design Standard to</w:t>
      </w:r>
      <w:r>
        <w:rPr>
          <w:spacing w:val="-45"/>
        </w:rPr>
        <w:t> </w:t>
      </w:r>
      <w:r>
        <w:rPr/>
        <w:t>Reduce Stormwater</w:t>
      </w:r>
      <w:r>
        <w:rPr>
          <w:spacing w:val="-1"/>
        </w:rPr>
        <w:t> </w:t>
      </w:r>
      <w:r>
        <w:rPr/>
        <w:t>Runoff.</w:t>
      </w:r>
    </w:p>
    <w:p>
      <w:pPr>
        <w:pStyle w:val="BodyText"/>
        <w:spacing w:before="9"/>
        <w:rPr>
          <w:b/>
          <w:sz w:val="20"/>
        </w:rPr>
      </w:pPr>
    </w:p>
    <w:p>
      <w:pPr>
        <w:pStyle w:val="ListParagraph"/>
        <w:numPr>
          <w:ilvl w:val="2"/>
          <w:numId w:val="9"/>
        </w:numPr>
        <w:tabs>
          <w:tab w:pos="1099" w:val="left" w:leader="none"/>
          <w:tab w:pos="1101" w:val="left" w:leader="none"/>
        </w:tabs>
        <w:spacing w:line="240" w:lineRule="auto" w:before="0" w:after="0"/>
        <w:ind w:left="1100" w:right="1086" w:hanging="821"/>
        <w:jc w:val="left"/>
        <w:rPr>
          <w:sz w:val="24"/>
        </w:rPr>
      </w:pPr>
      <w:r>
        <w:rPr>
          <w:sz w:val="24"/>
        </w:rPr>
        <w:t>The Discharger shall design, implement, and properly operate and maintain stormwater controls (structural and/or non-structural BMPs) with the effective capacity to capture and use, infiltrate, and/or evapotranspire all NSWDs and the volume of runoff produced up to and during an 85th percentile 24-hour storm event.</w:t>
      </w:r>
    </w:p>
    <w:p>
      <w:pPr>
        <w:pStyle w:val="BodyText"/>
        <w:spacing w:before="10"/>
        <w:rPr>
          <w:sz w:val="20"/>
        </w:rPr>
      </w:pPr>
    </w:p>
    <w:p>
      <w:pPr>
        <w:pStyle w:val="ListParagraph"/>
        <w:numPr>
          <w:ilvl w:val="3"/>
          <w:numId w:val="9"/>
        </w:numPr>
        <w:tabs>
          <w:tab w:pos="1359" w:val="left" w:leader="none"/>
          <w:tab w:pos="1360" w:val="left" w:leader="none"/>
        </w:tabs>
        <w:spacing w:line="240" w:lineRule="auto" w:before="0" w:after="0"/>
        <w:ind w:left="1360" w:right="1229" w:hanging="1080"/>
        <w:jc w:val="left"/>
        <w:rPr>
          <w:sz w:val="24"/>
        </w:rPr>
      </w:pPr>
      <w:r>
        <w:rPr>
          <w:sz w:val="24"/>
        </w:rPr>
        <w:t>The volume of runoff produced by an 85th percentile 24-hour storm event, determined as the maximized capture runoff volume for the facility, shall be calculated using the formula recommended in Water Environment Federation’s Manual of Practice No. 23/ASCE Manual of Practice No. 87, cited in Chapter 5 of the 1998 Edition and Chapter 3 of the 2012 Edition</w:t>
      </w:r>
      <w:r>
        <w:rPr>
          <w:spacing w:val="-45"/>
          <w:sz w:val="24"/>
        </w:rPr>
        <w:t> </w:t>
      </w:r>
      <w:r>
        <w:rPr>
          <w:sz w:val="24"/>
        </w:rPr>
        <w:t>and</w:t>
      </w:r>
    </w:p>
    <w:p>
      <w:pPr>
        <w:spacing w:after="0" w:line="240" w:lineRule="auto"/>
        <w:jc w:val="left"/>
        <w:rPr>
          <w:sz w:val="24"/>
        </w:rPr>
        <w:sectPr>
          <w:pgSz w:w="12240" w:h="15840"/>
          <w:pgMar w:header="728" w:footer="788" w:top="1540" w:bottom="980" w:left="1160" w:right="420"/>
        </w:sectPr>
      </w:pPr>
    </w:p>
    <w:p>
      <w:pPr>
        <w:pStyle w:val="BodyText"/>
        <w:spacing w:before="11"/>
        <w:rPr>
          <w:sz w:val="15"/>
        </w:rPr>
      </w:pPr>
    </w:p>
    <w:p>
      <w:pPr>
        <w:pStyle w:val="BodyText"/>
        <w:spacing w:line="235" w:lineRule="auto" w:before="97"/>
        <w:ind w:left="1359" w:right="1397"/>
      </w:pPr>
      <w:r>
        <w:rPr/>
        <w:t>setting the stormwater volume to exactly the 85th percentile 24-hour storm runoff volume (Straight Calc)</w:t>
      </w:r>
      <w:r>
        <w:rPr>
          <w:position w:val="8"/>
          <w:sz w:val="16"/>
        </w:rPr>
        <w:t>8</w:t>
      </w:r>
      <w:r>
        <w:rPr/>
        <w:t>.</w:t>
      </w:r>
    </w:p>
    <w:p>
      <w:pPr>
        <w:pStyle w:val="ListParagraph"/>
        <w:numPr>
          <w:ilvl w:val="2"/>
          <w:numId w:val="9"/>
        </w:numPr>
        <w:tabs>
          <w:tab w:pos="1100" w:val="left" w:leader="none"/>
          <w:tab w:pos="1101" w:val="left" w:leader="none"/>
        </w:tabs>
        <w:spacing w:line="240" w:lineRule="auto" w:before="241" w:after="0"/>
        <w:ind w:left="1100" w:right="0" w:hanging="821"/>
        <w:jc w:val="left"/>
        <w:rPr>
          <w:sz w:val="24"/>
        </w:rPr>
      </w:pPr>
      <w:r>
        <w:rPr>
          <w:sz w:val="24"/>
        </w:rPr>
        <w:t>The Discharger shall comply with the requirements specified in Attachment</w:t>
      </w:r>
      <w:r>
        <w:rPr>
          <w:spacing w:val="-16"/>
          <w:sz w:val="24"/>
        </w:rPr>
        <w:t> </w:t>
      </w:r>
      <w:r>
        <w:rPr>
          <w:sz w:val="24"/>
        </w:rPr>
        <w:t>I.</w:t>
      </w:r>
    </w:p>
    <w:p>
      <w:pPr>
        <w:pStyle w:val="BodyText"/>
        <w:spacing w:before="10"/>
        <w:rPr>
          <w:sz w:val="20"/>
        </w:rPr>
      </w:pPr>
    </w:p>
    <w:p>
      <w:pPr>
        <w:pStyle w:val="ListParagraph"/>
        <w:numPr>
          <w:ilvl w:val="2"/>
          <w:numId w:val="9"/>
        </w:numPr>
        <w:tabs>
          <w:tab w:pos="1099" w:val="left" w:leader="none"/>
          <w:tab w:pos="1100" w:val="left" w:leader="none"/>
        </w:tabs>
        <w:spacing w:line="240" w:lineRule="auto" w:before="0" w:after="0"/>
        <w:ind w:left="1100" w:right="1570" w:hanging="821"/>
        <w:jc w:val="left"/>
        <w:rPr>
          <w:sz w:val="24"/>
        </w:rPr>
      </w:pPr>
      <w:r>
        <w:rPr>
          <w:sz w:val="24"/>
        </w:rPr>
        <w:t>Dischargers selecting and in compliance with Compliance Option 2 shall</w:t>
      </w:r>
      <w:r>
        <w:rPr>
          <w:spacing w:val="-46"/>
          <w:sz w:val="24"/>
        </w:rPr>
        <w:t> </w:t>
      </w:r>
      <w:r>
        <w:rPr>
          <w:sz w:val="24"/>
        </w:rPr>
        <w:t>be deemed in compliance with the water quality based effluent limitations established in section 7.2 of this</w:t>
      </w:r>
      <w:r>
        <w:rPr>
          <w:spacing w:val="-2"/>
          <w:sz w:val="24"/>
        </w:rPr>
        <w:t> </w:t>
      </w:r>
      <w:r>
        <w:rPr>
          <w:sz w:val="24"/>
        </w:rPr>
        <w:t>Order.</w:t>
      </w:r>
    </w:p>
    <w:p>
      <w:pPr>
        <w:pStyle w:val="BodyText"/>
        <w:spacing w:before="10"/>
        <w:rPr>
          <w:sz w:val="20"/>
        </w:rPr>
      </w:pPr>
    </w:p>
    <w:p>
      <w:pPr>
        <w:pStyle w:val="ListParagraph"/>
        <w:numPr>
          <w:ilvl w:val="2"/>
          <w:numId w:val="9"/>
        </w:numPr>
        <w:tabs>
          <w:tab w:pos="1099" w:val="left" w:leader="none"/>
          <w:tab w:pos="1100" w:val="left" w:leader="none"/>
        </w:tabs>
        <w:spacing w:line="240" w:lineRule="auto" w:before="0" w:after="0"/>
        <w:ind w:left="1100" w:right="1620" w:hanging="821"/>
        <w:jc w:val="left"/>
        <w:rPr>
          <w:sz w:val="24"/>
        </w:rPr>
      </w:pPr>
      <w:r>
        <w:rPr>
          <w:sz w:val="24"/>
        </w:rPr>
        <w:t>Dischargers choosing Compliance Option 2 will not be permitted to change options for two (2) years unless approved by the Executive</w:t>
      </w:r>
      <w:r>
        <w:rPr>
          <w:spacing w:val="-15"/>
          <w:sz w:val="24"/>
        </w:rPr>
        <w:t> </w:t>
      </w:r>
      <w:r>
        <w:rPr>
          <w:sz w:val="24"/>
        </w:rPr>
        <w:t>Officer.</w:t>
      </w:r>
    </w:p>
    <w:p>
      <w:pPr>
        <w:pStyle w:val="BodyText"/>
        <w:spacing w:before="10"/>
        <w:rPr>
          <w:sz w:val="20"/>
        </w:rPr>
      </w:pPr>
    </w:p>
    <w:p>
      <w:pPr>
        <w:pStyle w:val="Heading1"/>
        <w:numPr>
          <w:ilvl w:val="1"/>
          <w:numId w:val="9"/>
        </w:numPr>
        <w:tabs>
          <w:tab w:pos="871" w:val="left" w:leader="none"/>
        </w:tabs>
        <w:spacing w:line="240" w:lineRule="auto" w:before="1" w:after="0"/>
        <w:ind w:left="870" w:right="1732" w:hanging="591"/>
        <w:jc w:val="left"/>
      </w:pPr>
      <w:r>
        <w:rPr/>
        <w:t>Compliance Option 3 - Direct Demonstration of Compliance with Water Quality Based Effluent</w:t>
      </w:r>
      <w:r>
        <w:rPr>
          <w:spacing w:val="-1"/>
        </w:rPr>
        <w:t> </w:t>
      </w:r>
      <w:r>
        <w:rPr/>
        <w:t>Limitations.</w:t>
      </w:r>
    </w:p>
    <w:p>
      <w:pPr>
        <w:pStyle w:val="BodyText"/>
        <w:spacing w:before="9"/>
        <w:rPr>
          <w:b/>
          <w:sz w:val="20"/>
        </w:rPr>
      </w:pPr>
    </w:p>
    <w:p>
      <w:pPr>
        <w:pStyle w:val="ListParagraph"/>
        <w:numPr>
          <w:ilvl w:val="2"/>
          <w:numId w:val="9"/>
        </w:numPr>
        <w:tabs>
          <w:tab w:pos="1099" w:val="left" w:leader="none"/>
          <w:tab w:pos="1101" w:val="left" w:leader="none"/>
        </w:tabs>
        <w:spacing w:line="240" w:lineRule="auto" w:before="1" w:after="0"/>
        <w:ind w:left="1100" w:right="1405" w:hanging="821"/>
        <w:jc w:val="left"/>
        <w:rPr>
          <w:sz w:val="24"/>
        </w:rPr>
      </w:pPr>
      <w:r>
        <w:rPr>
          <w:sz w:val="24"/>
        </w:rPr>
        <w:t>The Discharger shall demonstrate direct compliance with the water quality based effluent limitations established in section 7.2 of this Order by implementing</w:t>
      </w:r>
      <w:r>
        <w:rPr>
          <w:spacing w:val="-7"/>
          <w:sz w:val="24"/>
        </w:rPr>
        <w:t> </w:t>
      </w:r>
      <w:r>
        <w:rPr>
          <w:sz w:val="24"/>
        </w:rPr>
        <w:t>the</w:t>
      </w:r>
      <w:r>
        <w:rPr>
          <w:spacing w:val="-6"/>
          <w:sz w:val="24"/>
        </w:rPr>
        <w:t> </w:t>
      </w:r>
      <w:r>
        <w:rPr>
          <w:sz w:val="24"/>
        </w:rPr>
        <w:t>monitoring</w:t>
      </w:r>
      <w:r>
        <w:rPr>
          <w:spacing w:val="-6"/>
          <w:sz w:val="24"/>
        </w:rPr>
        <w:t> </w:t>
      </w:r>
      <w:r>
        <w:rPr>
          <w:sz w:val="24"/>
        </w:rPr>
        <w:t>and</w:t>
      </w:r>
      <w:r>
        <w:rPr>
          <w:spacing w:val="-7"/>
          <w:sz w:val="24"/>
        </w:rPr>
        <w:t> </w:t>
      </w:r>
      <w:r>
        <w:rPr>
          <w:sz w:val="24"/>
        </w:rPr>
        <w:t>reporting</w:t>
      </w:r>
      <w:r>
        <w:rPr>
          <w:spacing w:val="-6"/>
          <w:sz w:val="24"/>
        </w:rPr>
        <w:t> </w:t>
      </w:r>
      <w:r>
        <w:rPr>
          <w:sz w:val="24"/>
        </w:rPr>
        <w:t>requirements</w:t>
      </w:r>
      <w:r>
        <w:rPr>
          <w:spacing w:val="-5"/>
          <w:sz w:val="24"/>
        </w:rPr>
        <w:t> </w:t>
      </w:r>
      <w:r>
        <w:rPr>
          <w:sz w:val="24"/>
        </w:rPr>
        <w:t>described</w:t>
      </w:r>
      <w:r>
        <w:rPr>
          <w:spacing w:val="-7"/>
          <w:sz w:val="24"/>
        </w:rPr>
        <w:t> </w:t>
      </w:r>
      <w:r>
        <w:rPr>
          <w:sz w:val="24"/>
        </w:rPr>
        <w:t>in</w:t>
      </w:r>
      <w:r>
        <w:rPr>
          <w:spacing w:val="-6"/>
          <w:sz w:val="24"/>
        </w:rPr>
        <w:t> </w:t>
      </w:r>
      <w:r>
        <w:rPr>
          <w:sz w:val="24"/>
        </w:rPr>
        <w:t>section</w:t>
      </w:r>
    </w:p>
    <w:p>
      <w:pPr>
        <w:pStyle w:val="BodyText"/>
        <w:ind w:left="1100" w:right="1161"/>
      </w:pPr>
      <w:r>
        <w:rPr/>
        <w:t>9.3 of this Order and according to the compliance determination in section 11.2 of this Order.</w:t>
      </w:r>
    </w:p>
    <w:p>
      <w:pPr>
        <w:pStyle w:val="BodyText"/>
        <w:spacing w:before="10"/>
        <w:rPr>
          <w:sz w:val="20"/>
        </w:rPr>
      </w:pPr>
    </w:p>
    <w:p>
      <w:pPr>
        <w:pStyle w:val="Heading1"/>
        <w:numPr>
          <w:ilvl w:val="0"/>
          <w:numId w:val="4"/>
        </w:numPr>
        <w:tabs>
          <w:tab w:pos="640" w:val="left" w:leader="none"/>
        </w:tabs>
        <w:spacing w:line="240" w:lineRule="auto" w:before="0" w:after="0"/>
        <w:ind w:left="639" w:right="0" w:hanging="360"/>
        <w:jc w:val="left"/>
      </w:pPr>
      <w:bookmarkStart w:name="_TOC_250021" w:id="31"/>
      <w:r>
        <w:rPr/>
        <w:t>MONITORING AND REPORTING</w:t>
      </w:r>
      <w:r>
        <w:rPr>
          <w:spacing w:val="-2"/>
        </w:rPr>
        <w:t> </w:t>
      </w:r>
      <w:bookmarkEnd w:id="31"/>
      <w:r>
        <w:rPr/>
        <w:t>REQUIREMENTS.</w:t>
      </w:r>
    </w:p>
    <w:p>
      <w:pPr>
        <w:pStyle w:val="BodyText"/>
        <w:rPr>
          <w:b/>
        </w:rPr>
      </w:pPr>
    </w:p>
    <w:p>
      <w:pPr>
        <w:pStyle w:val="BodyText"/>
        <w:ind w:left="639" w:right="1143"/>
      </w:pPr>
      <w:r>
        <w:rPr/>
        <w:t>Regardless of the Compliance Option selected, the Discharger shall submit an annual report via SMARTS each reporting year by December 15</w:t>
      </w:r>
      <w:r>
        <w:rPr>
          <w:position w:val="8"/>
          <w:sz w:val="16"/>
        </w:rPr>
        <w:t>th</w:t>
      </w:r>
      <w:r>
        <w:rPr/>
        <w:t>, containing visual observations of discharges, identification, and assessment of minimum BMPs implemented, and any corrective action performed. Additional reporting requirements for each Compliance Option are described below.</w:t>
      </w:r>
    </w:p>
    <w:p>
      <w:pPr>
        <w:pStyle w:val="BodyText"/>
        <w:spacing w:before="4"/>
        <w:rPr>
          <w:sz w:val="20"/>
        </w:rPr>
      </w:pPr>
    </w:p>
    <w:p>
      <w:pPr>
        <w:pStyle w:val="Heading1"/>
        <w:numPr>
          <w:ilvl w:val="1"/>
          <w:numId w:val="4"/>
        </w:numPr>
        <w:tabs>
          <w:tab w:pos="871" w:val="left" w:leader="none"/>
        </w:tabs>
        <w:spacing w:line="240" w:lineRule="auto" w:before="0" w:after="0"/>
        <w:ind w:left="870" w:right="1800" w:hanging="591"/>
        <w:jc w:val="left"/>
      </w:pPr>
      <w:r>
        <w:rPr/>
        <w:t>Compliance Option 1 – Agreement with Local Watershed</w:t>
      </w:r>
      <w:r>
        <w:rPr>
          <w:spacing w:val="-27"/>
        </w:rPr>
        <w:t> </w:t>
      </w:r>
      <w:r>
        <w:rPr/>
        <w:t>Management Group to Fund Regional</w:t>
      </w:r>
      <w:r>
        <w:rPr>
          <w:spacing w:val="-1"/>
        </w:rPr>
        <w:t> </w:t>
      </w:r>
      <w:r>
        <w:rPr/>
        <w:t>Project.</w:t>
      </w:r>
    </w:p>
    <w:p>
      <w:pPr>
        <w:pStyle w:val="BodyText"/>
        <w:spacing w:before="10"/>
        <w:rPr>
          <w:b/>
          <w:sz w:val="20"/>
        </w:rPr>
      </w:pPr>
    </w:p>
    <w:p>
      <w:pPr>
        <w:pStyle w:val="ListParagraph"/>
        <w:numPr>
          <w:ilvl w:val="2"/>
          <w:numId w:val="4"/>
        </w:numPr>
        <w:tabs>
          <w:tab w:pos="1100" w:val="left" w:leader="none"/>
          <w:tab w:pos="1101" w:val="left" w:leader="none"/>
        </w:tabs>
        <w:spacing w:line="240" w:lineRule="auto" w:before="0" w:after="0"/>
        <w:ind w:left="1100" w:right="1112" w:hanging="821"/>
        <w:jc w:val="left"/>
        <w:rPr>
          <w:sz w:val="24"/>
        </w:rPr>
      </w:pPr>
      <w:r>
        <w:rPr>
          <w:sz w:val="24"/>
        </w:rPr>
        <w:t>The Discharger shall participate in the funding of a regional project approved by the local Watershed Management Group, as described in section 8.1 of this Order.</w:t>
      </w:r>
    </w:p>
    <w:p>
      <w:pPr>
        <w:pStyle w:val="BodyText"/>
        <w:spacing w:before="5"/>
        <w:rPr>
          <w:sz w:val="20"/>
        </w:rPr>
      </w:pPr>
    </w:p>
    <w:p>
      <w:pPr>
        <w:pStyle w:val="ListParagraph"/>
        <w:numPr>
          <w:ilvl w:val="2"/>
          <w:numId w:val="4"/>
        </w:numPr>
        <w:tabs>
          <w:tab w:pos="1100" w:val="left" w:leader="none"/>
          <w:tab w:pos="1101" w:val="left" w:leader="none"/>
        </w:tabs>
        <w:spacing w:line="240" w:lineRule="auto" w:before="0" w:after="0"/>
        <w:ind w:left="1100" w:right="1087" w:hanging="821"/>
        <w:jc w:val="left"/>
        <w:rPr>
          <w:sz w:val="24"/>
        </w:rPr>
      </w:pPr>
      <w:r>
        <w:rPr>
          <w:sz w:val="24"/>
        </w:rPr>
        <w:t>By December 15</w:t>
      </w:r>
      <w:r>
        <w:rPr>
          <w:position w:val="8"/>
          <w:sz w:val="16"/>
        </w:rPr>
        <w:t>th </w:t>
      </w:r>
      <w:r>
        <w:rPr>
          <w:sz w:val="24"/>
        </w:rPr>
        <w:t>of each reporting year, the Discharger shall submit an annual report via SMARTS on their agreement with the local Watershed Management Group. The report shall include the project funded through the previous year, fees paid, and confirmation that the Discharger has complied with</w:t>
      </w:r>
      <w:r>
        <w:rPr>
          <w:spacing w:val="-16"/>
          <w:sz w:val="24"/>
        </w:rPr>
        <w:t> </w:t>
      </w:r>
      <w:r>
        <w:rPr>
          <w:sz w:val="24"/>
        </w:rPr>
        <w:t>the</w:t>
      </w:r>
    </w:p>
    <w:p>
      <w:pPr>
        <w:pStyle w:val="BodyText"/>
        <w:rPr>
          <w:sz w:val="20"/>
        </w:rPr>
      </w:pPr>
    </w:p>
    <w:p>
      <w:pPr>
        <w:pStyle w:val="BodyText"/>
        <w:rPr>
          <w:sz w:val="20"/>
        </w:rPr>
      </w:pPr>
    </w:p>
    <w:p>
      <w:pPr>
        <w:pStyle w:val="BodyText"/>
        <w:spacing w:before="9"/>
        <w:rPr>
          <w:sz w:val="23"/>
        </w:rPr>
      </w:pPr>
      <w:r>
        <w:rPr/>
        <w:pict>
          <v:shape style="position:absolute;margin-left:72pt;margin-top:15.936665pt;width:144pt;height:.1pt;mso-position-horizontal-relative:page;mso-position-vertical-relative:paragraph;z-index:-251654144;mso-wrap-distance-left:0;mso-wrap-distance-right:0" coordorigin="1440,319" coordsize="2880,0" path="m1440,319l4320,319e" filled="false" stroked="true" strokeweight=".600010pt" strokecolor="#000000">
            <v:path arrowok="t"/>
            <v:stroke dashstyle="solid"/>
            <w10:wrap type="topAndBottom"/>
          </v:shape>
        </w:pict>
      </w:r>
    </w:p>
    <w:p>
      <w:pPr>
        <w:pStyle w:val="BodyText"/>
        <w:rPr>
          <w:sz w:val="20"/>
        </w:rPr>
      </w:pPr>
    </w:p>
    <w:p>
      <w:pPr>
        <w:pStyle w:val="BodyText"/>
        <w:spacing w:before="5"/>
        <w:rPr>
          <w:sz w:val="22"/>
        </w:rPr>
      </w:pPr>
    </w:p>
    <w:p>
      <w:pPr>
        <w:spacing w:before="95"/>
        <w:ind w:left="280" w:right="1018" w:hanging="1"/>
        <w:jc w:val="left"/>
        <w:rPr>
          <w:sz w:val="20"/>
        </w:rPr>
      </w:pPr>
      <w:r>
        <w:rPr>
          <w:position w:val="7"/>
          <w:sz w:val="13"/>
        </w:rPr>
        <w:t>8 </w:t>
      </w:r>
      <w:r>
        <w:rPr>
          <w:sz w:val="20"/>
        </w:rPr>
        <w:t>General Permit for Storm Water Discharges Associated with Industrial Activities, Order 2014-0057-DWQ amended by Order 2015-0122-DWQ &amp; Order 20XX-XXXX-DWQ</w:t>
      </w:r>
    </w:p>
    <w:p>
      <w:pPr>
        <w:spacing w:after="0"/>
        <w:jc w:val="left"/>
        <w:rPr>
          <w:sz w:val="20"/>
        </w:rPr>
        <w:sectPr>
          <w:pgSz w:w="12240" w:h="15840"/>
          <w:pgMar w:header="728" w:footer="788" w:top="1540" w:bottom="980" w:left="1160" w:right="420"/>
        </w:sectPr>
      </w:pPr>
    </w:p>
    <w:p>
      <w:pPr>
        <w:pStyle w:val="BodyText"/>
        <w:spacing w:before="11"/>
        <w:rPr>
          <w:sz w:val="15"/>
        </w:rPr>
      </w:pPr>
    </w:p>
    <w:p>
      <w:pPr>
        <w:pStyle w:val="BodyText"/>
        <w:spacing w:before="92"/>
        <w:ind w:left="1100" w:right="1736"/>
      </w:pPr>
      <w:r>
        <w:rPr/>
        <w:t>requirements of their agreement with the Watershed Management Group, including the requirements in section 8.1 of this Order.</w:t>
      </w:r>
    </w:p>
    <w:p>
      <w:pPr>
        <w:pStyle w:val="BodyText"/>
        <w:spacing w:before="10"/>
        <w:rPr>
          <w:sz w:val="20"/>
        </w:rPr>
      </w:pPr>
    </w:p>
    <w:p>
      <w:pPr>
        <w:pStyle w:val="ListParagraph"/>
        <w:numPr>
          <w:ilvl w:val="2"/>
          <w:numId w:val="4"/>
        </w:numPr>
        <w:tabs>
          <w:tab w:pos="1100" w:val="left" w:leader="none"/>
          <w:tab w:pos="1101" w:val="left" w:leader="none"/>
        </w:tabs>
        <w:spacing w:line="240" w:lineRule="auto" w:before="0" w:after="0"/>
        <w:ind w:left="1100" w:right="1325" w:hanging="821"/>
        <w:jc w:val="left"/>
        <w:rPr>
          <w:sz w:val="24"/>
        </w:rPr>
      </w:pPr>
      <w:r>
        <w:rPr>
          <w:sz w:val="24"/>
        </w:rPr>
        <w:t>By December 15th of each reporting year, the Discharger is required to report any update to their agreement with the Watershed Management</w:t>
      </w:r>
      <w:r>
        <w:rPr>
          <w:spacing w:val="-13"/>
          <w:sz w:val="24"/>
        </w:rPr>
        <w:t> </w:t>
      </w:r>
      <w:r>
        <w:rPr>
          <w:sz w:val="24"/>
        </w:rPr>
        <w:t>Group.</w:t>
      </w:r>
    </w:p>
    <w:p>
      <w:pPr>
        <w:pStyle w:val="BodyText"/>
        <w:spacing w:before="10"/>
        <w:rPr>
          <w:sz w:val="20"/>
        </w:rPr>
      </w:pPr>
    </w:p>
    <w:p>
      <w:pPr>
        <w:pStyle w:val="ListParagraph"/>
        <w:numPr>
          <w:ilvl w:val="2"/>
          <w:numId w:val="4"/>
        </w:numPr>
        <w:tabs>
          <w:tab w:pos="1100" w:val="left" w:leader="none"/>
          <w:tab w:pos="1101" w:val="left" w:leader="none"/>
        </w:tabs>
        <w:spacing w:line="240" w:lineRule="auto" w:before="0" w:after="0"/>
        <w:ind w:left="1100" w:right="1059" w:hanging="821"/>
        <w:jc w:val="left"/>
        <w:rPr>
          <w:sz w:val="24"/>
        </w:rPr>
      </w:pPr>
      <w:r>
        <w:rPr>
          <w:sz w:val="24"/>
        </w:rPr>
        <w:t>The Discharger shall conduct visual observations of stormwater leaving the site from all discharge locations for two Qualifying Storm Events (QSE) as defined in section 9.3.2.1. One (1) QSE shall occur within the first half of each reporting period (July 1 to December 31 of the preceding year) and one (1) QSEs within the second half of each reporting period (January 1 to June 30). The Discharger shall visually observe and record the</w:t>
      </w:r>
      <w:r>
        <w:rPr>
          <w:spacing w:val="-3"/>
          <w:sz w:val="24"/>
        </w:rPr>
        <w:t> </w:t>
      </w:r>
      <w:r>
        <w:rPr>
          <w:sz w:val="24"/>
        </w:rPr>
        <w:t>following:</w:t>
      </w:r>
    </w:p>
    <w:p>
      <w:pPr>
        <w:pStyle w:val="BodyText"/>
        <w:spacing w:before="10"/>
        <w:rPr>
          <w:sz w:val="20"/>
        </w:rPr>
      </w:pPr>
    </w:p>
    <w:p>
      <w:pPr>
        <w:pStyle w:val="ListParagraph"/>
        <w:numPr>
          <w:ilvl w:val="3"/>
          <w:numId w:val="4"/>
        </w:numPr>
        <w:tabs>
          <w:tab w:pos="1359" w:val="left" w:leader="none"/>
          <w:tab w:pos="1360" w:val="left" w:leader="none"/>
        </w:tabs>
        <w:spacing w:line="240" w:lineRule="auto" w:before="1" w:after="0"/>
        <w:ind w:left="1360" w:right="1878" w:hanging="1080"/>
        <w:jc w:val="left"/>
        <w:rPr>
          <w:sz w:val="24"/>
        </w:rPr>
      </w:pPr>
      <w:r>
        <w:rPr>
          <w:sz w:val="24"/>
        </w:rPr>
        <w:t>The presence or indications of prior, current, or potential unauthorized NSWDs and their</w:t>
      </w:r>
      <w:r>
        <w:rPr>
          <w:spacing w:val="-1"/>
          <w:sz w:val="24"/>
        </w:rPr>
        <w:t> </w:t>
      </w:r>
      <w:r>
        <w:rPr>
          <w:sz w:val="24"/>
        </w:rPr>
        <w:t>sources;</w:t>
      </w:r>
    </w:p>
    <w:p>
      <w:pPr>
        <w:pStyle w:val="BodyText"/>
        <w:spacing w:before="9"/>
        <w:rPr>
          <w:sz w:val="20"/>
        </w:rPr>
      </w:pPr>
    </w:p>
    <w:p>
      <w:pPr>
        <w:pStyle w:val="ListParagraph"/>
        <w:numPr>
          <w:ilvl w:val="3"/>
          <w:numId w:val="4"/>
        </w:numPr>
        <w:tabs>
          <w:tab w:pos="1358" w:val="left" w:leader="none"/>
          <w:tab w:pos="1359" w:val="left" w:leader="none"/>
        </w:tabs>
        <w:spacing w:line="240" w:lineRule="auto" w:before="1" w:after="0"/>
        <w:ind w:left="1360" w:right="1456" w:hanging="1080"/>
        <w:jc w:val="left"/>
        <w:rPr>
          <w:sz w:val="24"/>
        </w:rPr>
      </w:pPr>
      <w:r>
        <w:rPr>
          <w:sz w:val="24"/>
        </w:rPr>
        <w:t>Authorized NSWDs, sources, and associated BMPs to ensure</w:t>
      </w:r>
      <w:r>
        <w:rPr>
          <w:spacing w:val="-44"/>
          <w:sz w:val="24"/>
        </w:rPr>
        <w:t> </w:t>
      </w:r>
      <w:r>
        <w:rPr>
          <w:sz w:val="24"/>
        </w:rPr>
        <w:t>compliance with section 5 of this</w:t>
      </w:r>
      <w:r>
        <w:rPr>
          <w:spacing w:val="-1"/>
          <w:sz w:val="24"/>
        </w:rPr>
        <w:t> </w:t>
      </w:r>
      <w:r>
        <w:rPr>
          <w:sz w:val="24"/>
        </w:rPr>
        <w:t>Order;</w:t>
      </w:r>
    </w:p>
    <w:p>
      <w:pPr>
        <w:pStyle w:val="BodyText"/>
        <w:spacing w:before="9"/>
        <w:rPr>
          <w:sz w:val="20"/>
        </w:rPr>
      </w:pPr>
    </w:p>
    <w:p>
      <w:pPr>
        <w:pStyle w:val="ListParagraph"/>
        <w:numPr>
          <w:ilvl w:val="3"/>
          <w:numId w:val="4"/>
        </w:numPr>
        <w:tabs>
          <w:tab w:pos="1360" w:val="left" w:leader="none"/>
        </w:tabs>
        <w:spacing w:line="240" w:lineRule="auto" w:before="1" w:after="0"/>
        <w:ind w:left="1360" w:right="1226" w:hanging="1080"/>
        <w:jc w:val="both"/>
        <w:rPr>
          <w:sz w:val="24"/>
        </w:rPr>
      </w:pPr>
      <w:r>
        <w:rPr>
          <w:sz w:val="24"/>
        </w:rPr>
        <w:t>Outdoor commercial and/or industrial equipment and storage areas, outdoor industrial activities areas, BMPs, and all other potential sources of industrial pollutants;</w:t>
      </w:r>
      <w:r>
        <w:rPr>
          <w:spacing w:val="-2"/>
          <w:sz w:val="24"/>
        </w:rPr>
        <w:t> </w:t>
      </w:r>
      <w:r>
        <w:rPr>
          <w:sz w:val="24"/>
        </w:rPr>
        <w:t>and</w:t>
      </w:r>
    </w:p>
    <w:p>
      <w:pPr>
        <w:pStyle w:val="BodyText"/>
        <w:spacing w:before="10"/>
        <w:rPr>
          <w:sz w:val="20"/>
        </w:rPr>
      </w:pPr>
    </w:p>
    <w:p>
      <w:pPr>
        <w:pStyle w:val="ListParagraph"/>
        <w:numPr>
          <w:ilvl w:val="3"/>
          <w:numId w:val="4"/>
        </w:numPr>
        <w:tabs>
          <w:tab w:pos="1359" w:val="left" w:leader="none"/>
          <w:tab w:pos="1360" w:val="left" w:leader="none"/>
        </w:tabs>
        <w:spacing w:line="240" w:lineRule="auto" w:before="0" w:after="0"/>
        <w:ind w:left="1360" w:right="1544" w:hanging="1080"/>
        <w:jc w:val="left"/>
        <w:rPr>
          <w:sz w:val="24"/>
        </w:rPr>
      </w:pPr>
      <w:r>
        <w:rPr>
          <w:sz w:val="24"/>
        </w:rPr>
        <w:t>The presence or absence of floating and suspended materials, oil and grease, discolorations, turbidity, odors, trash/debris, and source(s) of any discharged</w:t>
      </w:r>
      <w:r>
        <w:rPr>
          <w:spacing w:val="-1"/>
          <w:sz w:val="24"/>
        </w:rPr>
        <w:t> </w:t>
      </w:r>
      <w:r>
        <w:rPr>
          <w:sz w:val="24"/>
        </w:rPr>
        <w:t>pollutants.</w:t>
      </w:r>
    </w:p>
    <w:p>
      <w:pPr>
        <w:pStyle w:val="BodyText"/>
        <w:spacing w:before="10"/>
        <w:rPr>
          <w:sz w:val="20"/>
        </w:rPr>
      </w:pPr>
    </w:p>
    <w:p>
      <w:pPr>
        <w:pStyle w:val="ListParagraph"/>
        <w:numPr>
          <w:ilvl w:val="3"/>
          <w:numId w:val="4"/>
        </w:numPr>
        <w:tabs>
          <w:tab w:pos="1358" w:val="left" w:leader="none"/>
          <w:tab w:pos="1360" w:val="left" w:leader="none"/>
        </w:tabs>
        <w:spacing w:line="240" w:lineRule="auto" w:before="0" w:after="0"/>
        <w:ind w:left="1360" w:right="1049" w:hanging="1080"/>
        <w:jc w:val="left"/>
        <w:rPr>
          <w:sz w:val="24"/>
        </w:rPr>
      </w:pPr>
      <w:r>
        <w:rPr>
          <w:sz w:val="24"/>
        </w:rPr>
        <w:t>In the event that a discharge location is not visually observed during the QSE, the Discharger shall record which discharge locations were not observed or that there was no discharge from the discharge</w:t>
      </w:r>
      <w:r>
        <w:rPr>
          <w:spacing w:val="-6"/>
          <w:sz w:val="24"/>
        </w:rPr>
        <w:t> </w:t>
      </w:r>
      <w:r>
        <w:rPr>
          <w:sz w:val="24"/>
        </w:rPr>
        <w:t>location.</w:t>
      </w:r>
    </w:p>
    <w:p>
      <w:pPr>
        <w:pStyle w:val="BodyText"/>
        <w:spacing w:before="9"/>
        <w:rPr>
          <w:sz w:val="20"/>
        </w:rPr>
      </w:pPr>
    </w:p>
    <w:p>
      <w:pPr>
        <w:pStyle w:val="ListParagraph"/>
        <w:numPr>
          <w:ilvl w:val="3"/>
          <w:numId w:val="4"/>
        </w:numPr>
        <w:tabs>
          <w:tab w:pos="1358" w:val="left" w:leader="none"/>
          <w:tab w:pos="1359" w:val="left" w:leader="none"/>
        </w:tabs>
        <w:spacing w:line="240" w:lineRule="auto" w:before="0" w:after="0"/>
        <w:ind w:left="1360" w:right="1390" w:hanging="1080"/>
        <w:jc w:val="left"/>
        <w:rPr>
          <w:sz w:val="24"/>
        </w:rPr>
      </w:pPr>
      <w:r>
        <w:rPr>
          <w:sz w:val="24"/>
        </w:rPr>
        <w:t>The Discharger shall provide an explanation via SMARTS for</w:t>
      </w:r>
      <w:r>
        <w:rPr>
          <w:spacing w:val="-45"/>
          <w:sz w:val="24"/>
        </w:rPr>
        <w:t> </w:t>
      </w:r>
      <w:r>
        <w:rPr>
          <w:sz w:val="24"/>
        </w:rPr>
        <w:t>uncompleted visual</w:t>
      </w:r>
      <w:r>
        <w:rPr>
          <w:spacing w:val="-1"/>
          <w:sz w:val="24"/>
        </w:rPr>
        <w:t> </w:t>
      </w:r>
      <w:r>
        <w:rPr>
          <w:sz w:val="24"/>
        </w:rPr>
        <w:t>observations.</w:t>
      </w:r>
    </w:p>
    <w:p>
      <w:pPr>
        <w:pStyle w:val="BodyText"/>
        <w:spacing w:before="10"/>
        <w:rPr>
          <w:sz w:val="20"/>
        </w:rPr>
      </w:pPr>
    </w:p>
    <w:p>
      <w:pPr>
        <w:pStyle w:val="Heading1"/>
        <w:numPr>
          <w:ilvl w:val="1"/>
          <w:numId w:val="4"/>
        </w:numPr>
        <w:tabs>
          <w:tab w:pos="871" w:val="left" w:leader="none"/>
        </w:tabs>
        <w:spacing w:line="240" w:lineRule="auto" w:before="0" w:after="0"/>
        <w:ind w:left="870" w:right="2095" w:hanging="591"/>
        <w:jc w:val="left"/>
      </w:pPr>
      <w:r>
        <w:rPr/>
        <w:t>Compliance Option 2 – Facility-Specific Design Standard to</w:t>
      </w:r>
      <w:r>
        <w:rPr>
          <w:spacing w:val="-45"/>
        </w:rPr>
        <w:t> </w:t>
      </w:r>
      <w:r>
        <w:rPr/>
        <w:t>Reduce Stormwater</w:t>
      </w:r>
      <w:r>
        <w:rPr>
          <w:spacing w:val="-1"/>
        </w:rPr>
        <w:t> </w:t>
      </w:r>
      <w:r>
        <w:rPr/>
        <w:t>Runoff.</w:t>
      </w:r>
    </w:p>
    <w:p>
      <w:pPr>
        <w:pStyle w:val="BodyText"/>
        <w:spacing w:before="10"/>
        <w:rPr>
          <w:b/>
          <w:sz w:val="20"/>
        </w:rPr>
      </w:pPr>
    </w:p>
    <w:p>
      <w:pPr>
        <w:pStyle w:val="ListParagraph"/>
        <w:numPr>
          <w:ilvl w:val="2"/>
          <w:numId w:val="4"/>
        </w:numPr>
        <w:tabs>
          <w:tab w:pos="1101" w:val="left" w:leader="none"/>
        </w:tabs>
        <w:spacing w:line="240" w:lineRule="auto" w:before="0" w:after="0"/>
        <w:ind w:left="1100" w:right="1687" w:hanging="821"/>
        <w:jc w:val="both"/>
        <w:rPr>
          <w:sz w:val="24"/>
        </w:rPr>
      </w:pPr>
      <w:r>
        <w:rPr>
          <w:sz w:val="24"/>
        </w:rPr>
        <w:t>The Discharger shall submit via SMARTS all documentation, studies, and engineering reports confirming that the design capacity of the stormwater controls will comply with the requirements of section 8.2 and Attachment</w:t>
      </w:r>
      <w:r>
        <w:rPr>
          <w:spacing w:val="-47"/>
          <w:sz w:val="24"/>
        </w:rPr>
        <w:t> </w:t>
      </w:r>
      <w:r>
        <w:rPr>
          <w:sz w:val="24"/>
        </w:rPr>
        <w:t>I.</w:t>
      </w:r>
    </w:p>
    <w:p>
      <w:pPr>
        <w:pStyle w:val="BodyText"/>
        <w:spacing w:before="10"/>
        <w:rPr>
          <w:sz w:val="20"/>
        </w:rPr>
      </w:pPr>
    </w:p>
    <w:p>
      <w:pPr>
        <w:pStyle w:val="ListParagraph"/>
        <w:numPr>
          <w:ilvl w:val="2"/>
          <w:numId w:val="4"/>
        </w:numPr>
        <w:tabs>
          <w:tab w:pos="1101" w:val="left" w:leader="none"/>
        </w:tabs>
        <w:spacing w:line="240" w:lineRule="auto" w:before="0" w:after="0"/>
        <w:ind w:left="1100" w:right="1885" w:hanging="821"/>
        <w:jc w:val="both"/>
        <w:rPr>
          <w:sz w:val="24"/>
        </w:rPr>
      </w:pPr>
      <w:r>
        <w:rPr>
          <w:sz w:val="24"/>
        </w:rPr>
        <w:t>Upon completion of installation of the approved stormwater controls, the Discharger shall report via SMARTS that the installation is complete and complies with the approved design</w:t>
      </w:r>
      <w:r>
        <w:rPr>
          <w:spacing w:val="-4"/>
          <w:sz w:val="24"/>
        </w:rPr>
        <w:t> </w:t>
      </w:r>
      <w:r>
        <w:rPr>
          <w:sz w:val="24"/>
        </w:rPr>
        <w:t>standard.</w:t>
      </w:r>
    </w:p>
    <w:p>
      <w:pPr>
        <w:pStyle w:val="BodyText"/>
        <w:spacing w:before="10"/>
        <w:rPr>
          <w:sz w:val="20"/>
        </w:rPr>
      </w:pPr>
    </w:p>
    <w:p>
      <w:pPr>
        <w:pStyle w:val="ListParagraph"/>
        <w:numPr>
          <w:ilvl w:val="2"/>
          <w:numId w:val="4"/>
        </w:numPr>
        <w:tabs>
          <w:tab w:pos="1100" w:val="left" w:leader="none"/>
          <w:tab w:pos="1101" w:val="left" w:leader="none"/>
        </w:tabs>
        <w:spacing w:line="240" w:lineRule="auto" w:before="0" w:after="0"/>
        <w:ind w:left="1100" w:right="1044" w:hanging="821"/>
        <w:jc w:val="left"/>
        <w:rPr>
          <w:sz w:val="24"/>
        </w:rPr>
      </w:pPr>
      <w:r>
        <w:rPr>
          <w:sz w:val="24"/>
        </w:rPr>
        <w:t>The Discharger shall conduct visual observations of any bypass in excess of the design volume that occurs. The Discharger shall visually observe and record</w:t>
      </w:r>
      <w:r>
        <w:rPr>
          <w:spacing w:val="-44"/>
          <w:sz w:val="24"/>
        </w:rPr>
        <w:t> </w:t>
      </w:r>
      <w:r>
        <w:rPr>
          <w:sz w:val="24"/>
        </w:rPr>
        <w:t>the</w:t>
      </w:r>
    </w:p>
    <w:p>
      <w:pPr>
        <w:spacing w:after="0" w:line="240" w:lineRule="auto"/>
        <w:jc w:val="left"/>
        <w:rPr>
          <w:sz w:val="24"/>
        </w:rPr>
        <w:sectPr>
          <w:pgSz w:w="12240" w:h="15840"/>
          <w:pgMar w:header="728" w:footer="788" w:top="1540" w:bottom="980" w:left="1160" w:right="420"/>
        </w:sectPr>
      </w:pPr>
    </w:p>
    <w:p>
      <w:pPr>
        <w:pStyle w:val="BodyText"/>
        <w:spacing w:before="11"/>
        <w:rPr>
          <w:sz w:val="15"/>
        </w:rPr>
      </w:pPr>
    </w:p>
    <w:p>
      <w:pPr>
        <w:pStyle w:val="BodyText"/>
        <w:spacing w:before="92"/>
        <w:ind w:left="1100" w:right="1415"/>
      </w:pPr>
      <w:r>
        <w:rPr/>
        <w:t>presence or absence of floating and suspended materials, oil and grease, discolorations, turbidity, odors, trash/debris, and source(s) of any discharged pollutants.</w:t>
      </w:r>
    </w:p>
    <w:p>
      <w:pPr>
        <w:pStyle w:val="BodyText"/>
        <w:spacing w:before="10"/>
        <w:rPr>
          <w:sz w:val="20"/>
        </w:rPr>
      </w:pPr>
    </w:p>
    <w:p>
      <w:pPr>
        <w:pStyle w:val="ListParagraph"/>
        <w:numPr>
          <w:ilvl w:val="3"/>
          <w:numId w:val="4"/>
        </w:numPr>
        <w:tabs>
          <w:tab w:pos="1359" w:val="left" w:leader="none"/>
          <w:tab w:pos="1360" w:val="left" w:leader="none"/>
        </w:tabs>
        <w:spacing w:line="240" w:lineRule="auto" w:before="0" w:after="0"/>
        <w:ind w:left="1360" w:right="1477" w:hanging="1080"/>
        <w:jc w:val="left"/>
        <w:rPr>
          <w:sz w:val="24"/>
        </w:rPr>
      </w:pPr>
      <w:r>
        <w:rPr>
          <w:sz w:val="24"/>
        </w:rPr>
        <w:t>In the event that a bypass is not visually observed, the Discharger shall provide an explanation via SMARTS for uncompleted visual</w:t>
      </w:r>
      <w:r>
        <w:rPr>
          <w:spacing w:val="-37"/>
          <w:sz w:val="24"/>
        </w:rPr>
        <w:t> </w:t>
      </w:r>
      <w:r>
        <w:rPr>
          <w:sz w:val="24"/>
        </w:rPr>
        <w:t>observations.</w:t>
      </w:r>
    </w:p>
    <w:p>
      <w:pPr>
        <w:pStyle w:val="BodyText"/>
        <w:spacing w:before="1"/>
        <w:rPr>
          <w:sz w:val="21"/>
        </w:rPr>
      </w:pPr>
    </w:p>
    <w:p>
      <w:pPr>
        <w:pStyle w:val="ListParagraph"/>
        <w:numPr>
          <w:ilvl w:val="2"/>
          <w:numId w:val="4"/>
        </w:numPr>
        <w:tabs>
          <w:tab w:pos="1100" w:val="left" w:leader="none"/>
          <w:tab w:pos="1101" w:val="left" w:leader="none"/>
        </w:tabs>
        <w:spacing w:line="237" w:lineRule="auto" w:before="0" w:after="0"/>
        <w:ind w:left="1100" w:right="1323" w:hanging="821"/>
        <w:jc w:val="left"/>
        <w:rPr>
          <w:sz w:val="24"/>
        </w:rPr>
      </w:pPr>
      <w:r>
        <w:rPr>
          <w:sz w:val="24"/>
        </w:rPr>
        <w:t>The Discharger shall inspect and evaluate the installed stormwater controls every reporting year to ensure that the control is operating efficiently, and maintenance is being performed. The Discharger shall submit a report of their evaluation via SMARTS by December 15</w:t>
      </w:r>
      <w:r>
        <w:rPr>
          <w:position w:val="8"/>
          <w:sz w:val="16"/>
        </w:rPr>
        <w:t>th </w:t>
      </w:r>
      <w:r>
        <w:rPr>
          <w:sz w:val="24"/>
        </w:rPr>
        <w:t>of each reporting</w:t>
      </w:r>
      <w:r>
        <w:rPr>
          <w:spacing w:val="-35"/>
          <w:sz w:val="24"/>
        </w:rPr>
        <w:t> </w:t>
      </w:r>
      <w:r>
        <w:rPr>
          <w:sz w:val="24"/>
        </w:rPr>
        <w:t>year.</w:t>
      </w:r>
    </w:p>
    <w:p>
      <w:pPr>
        <w:pStyle w:val="Heading1"/>
        <w:numPr>
          <w:ilvl w:val="1"/>
          <w:numId w:val="10"/>
        </w:numPr>
        <w:tabs>
          <w:tab w:pos="871" w:val="left" w:leader="none"/>
        </w:tabs>
        <w:spacing w:line="240" w:lineRule="auto" w:before="244" w:after="0"/>
        <w:ind w:left="870" w:right="1455" w:hanging="591"/>
        <w:jc w:val="left"/>
      </w:pPr>
      <w:bookmarkStart w:name="_TOC_250020" w:id="32"/>
      <w:r>
        <w:rPr/>
        <w:t>Compliance Option 3 – Direct Demonstration of Compliance with</w:t>
      </w:r>
      <w:r>
        <w:rPr>
          <w:spacing w:val="-42"/>
        </w:rPr>
        <w:t> </w:t>
      </w:r>
      <w:bookmarkEnd w:id="32"/>
      <w:r>
        <w:rPr/>
        <w:t>Effluent Limitations.</w:t>
      </w:r>
    </w:p>
    <w:p>
      <w:pPr>
        <w:pStyle w:val="BodyText"/>
        <w:spacing w:before="10"/>
        <w:rPr>
          <w:b/>
          <w:sz w:val="20"/>
        </w:rPr>
      </w:pPr>
    </w:p>
    <w:p>
      <w:pPr>
        <w:pStyle w:val="Heading1"/>
        <w:numPr>
          <w:ilvl w:val="2"/>
          <w:numId w:val="10"/>
        </w:numPr>
        <w:tabs>
          <w:tab w:pos="1100" w:val="left" w:leader="none"/>
          <w:tab w:pos="1101" w:val="left" w:leader="none"/>
        </w:tabs>
        <w:spacing w:line="240" w:lineRule="auto" w:before="0" w:after="0"/>
        <w:ind w:left="1100" w:right="0" w:hanging="821"/>
        <w:jc w:val="left"/>
      </w:pPr>
      <w:bookmarkStart w:name="_TOC_250019" w:id="33"/>
      <w:r>
        <w:rPr/>
        <w:t>Site-Specific Monitoring and Reporting</w:t>
      </w:r>
      <w:r>
        <w:rPr>
          <w:spacing w:val="-2"/>
        </w:rPr>
        <w:t> </w:t>
      </w:r>
      <w:bookmarkEnd w:id="33"/>
      <w:r>
        <w:rPr/>
        <w:t>Plan.</w:t>
      </w:r>
    </w:p>
    <w:p>
      <w:pPr>
        <w:pStyle w:val="BodyText"/>
        <w:spacing w:before="10"/>
        <w:rPr>
          <w:b/>
          <w:sz w:val="20"/>
        </w:rPr>
      </w:pPr>
    </w:p>
    <w:p>
      <w:pPr>
        <w:pStyle w:val="ListParagraph"/>
        <w:numPr>
          <w:ilvl w:val="3"/>
          <w:numId w:val="10"/>
        </w:numPr>
        <w:tabs>
          <w:tab w:pos="1360" w:val="left" w:leader="none"/>
        </w:tabs>
        <w:spacing w:line="240" w:lineRule="auto" w:before="0" w:after="0"/>
        <w:ind w:left="1360" w:right="1331" w:hanging="1080"/>
        <w:jc w:val="both"/>
        <w:rPr>
          <w:sz w:val="24"/>
        </w:rPr>
      </w:pPr>
      <w:r>
        <w:rPr>
          <w:sz w:val="24"/>
        </w:rPr>
        <w:t>The Discharger shall develop and implement a site-specific Monitoring and Reporting Plan in accordance with the requirements of this General Permit. The Monitoring and Reporting Plan shall include the following</w:t>
      </w:r>
      <w:r>
        <w:rPr>
          <w:spacing w:val="-20"/>
          <w:sz w:val="24"/>
        </w:rPr>
        <w:t> </w:t>
      </w:r>
      <w:r>
        <w:rPr>
          <w:sz w:val="24"/>
        </w:rPr>
        <w:t>items:</w:t>
      </w:r>
    </w:p>
    <w:p>
      <w:pPr>
        <w:pStyle w:val="BodyText"/>
        <w:spacing w:before="10"/>
        <w:rPr>
          <w:sz w:val="20"/>
        </w:rPr>
      </w:pPr>
    </w:p>
    <w:p>
      <w:pPr>
        <w:pStyle w:val="ListParagraph"/>
        <w:numPr>
          <w:ilvl w:val="4"/>
          <w:numId w:val="10"/>
        </w:numPr>
        <w:tabs>
          <w:tab w:pos="1574" w:val="left" w:leader="none"/>
          <w:tab w:pos="1575" w:val="left" w:leader="none"/>
        </w:tabs>
        <w:spacing w:line="240" w:lineRule="auto" w:before="0" w:after="0"/>
        <w:ind w:left="1576" w:right="1664" w:hanging="1296"/>
        <w:jc w:val="left"/>
        <w:rPr>
          <w:sz w:val="24"/>
        </w:rPr>
      </w:pPr>
      <w:r>
        <w:rPr>
          <w:sz w:val="24"/>
        </w:rPr>
        <w:t>An identification of team members assigned to conduct the monitoring requirements</w:t>
      </w:r>
      <w:r>
        <w:rPr>
          <w:spacing w:val="-1"/>
          <w:sz w:val="24"/>
        </w:rPr>
        <w:t> </w:t>
      </w:r>
      <w:r>
        <w:rPr>
          <w:sz w:val="24"/>
        </w:rPr>
        <w:t>and</w:t>
      </w:r>
    </w:p>
    <w:p>
      <w:pPr>
        <w:pStyle w:val="BodyText"/>
        <w:spacing w:before="10"/>
        <w:rPr>
          <w:sz w:val="20"/>
        </w:rPr>
      </w:pPr>
    </w:p>
    <w:p>
      <w:pPr>
        <w:pStyle w:val="ListParagraph"/>
        <w:numPr>
          <w:ilvl w:val="4"/>
          <w:numId w:val="10"/>
        </w:numPr>
        <w:tabs>
          <w:tab w:pos="1574" w:val="left" w:leader="none"/>
          <w:tab w:pos="1575" w:val="left" w:leader="none"/>
        </w:tabs>
        <w:spacing w:line="240" w:lineRule="auto" w:before="0" w:after="0"/>
        <w:ind w:left="1576" w:right="1852" w:hanging="1296"/>
        <w:jc w:val="left"/>
        <w:rPr>
          <w:sz w:val="24"/>
        </w:rPr>
      </w:pPr>
      <w:r>
        <w:rPr>
          <w:sz w:val="24"/>
        </w:rPr>
        <w:t>A description of the following, in accordance with the Monitoring and Reporting Program (MRP) (Attachment</w:t>
      </w:r>
      <w:r>
        <w:rPr>
          <w:spacing w:val="-1"/>
          <w:sz w:val="24"/>
        </w:rPr>
        <w:t> </w:t>
      </w:r>
      <w:r>
        <w:rPr>
          <w:sz w:val="24"/>
        </w:rPr>
        <w:t>E):</w:t>
      </w:r>
    </w:p>
    <w:p>
      <w:pPr>
        <w:pStyle w:val="BodyText"/>
        <w:spacing w:before="10"/>
        <w:rPr>
          <w:sz w:val="20"/>
        </w:rPr>
      </w:pPr>
    </w:p>
    <w:p>
      <w:pPr>
        <w:pStyle w:val="ListParagraph"/>
        <w:numPr>
          <w:ilvl w:val="5"/>
          <w:numId w:val="10"/>
        </w:numPr>
        <w:tabs>
          <w:tab w:pos="1790" w:val="left" w:leader="none"/>
          <w:tab w:pos="1791" w:val="left" w:leader="none"/>
        </w:tabs>
        <w:spacing w:line="240" w:lineRule="auto" w:before="0" w:after="0"/>
        <w:ind w:left="1790" w:right="0" w:hanging="1511"/>
        <w:jc w:val="left"/>
        <w:rPr>
          <w:sz w:val="24"/>
        </w:rPr>
      </w:pPr>
      <w:r>
        <w:rPr>
          <w:sz w:val="24"/>
        </w:rPr>
        <w:t>Discharge locations (including latitude and</w:t>
      </w:r>
      <w:r>
        <w:rPr>
          <w:spacing w:val="-3"/>
          <w:sz w:val="24"/>
        </w:rPr>
        <w:t> </w:t>
      </w:r>
      <w:r>
        <w:rPr>
          <w:sz w:val="24"/>
        </w:rPr>
        <w:t>longitude);</w:t>
      </w:r>
    </w:p>
    <w:p>
      <w:pPr>
        <w:pStyle w:val="BodyText"/>
        <w:spacing w:before="10"/>
        <w:rPr>
          <w:sz w:val="20"/>
        </w:rPr>
      </w:pPr>
    </w:p>
    <w:p>
      <w:pPr>
        <w:pStyle w:val="ListParagraph"/>
        <w:numPr>
          <w:ilvl w:val="5"/>
          <w:numId w:val="10"/>
        </w:numPr>
        <w:tabs>
          <w:tab w:pos="1788" w:val="left" w:leader="none"/>
          <w:tab w:pos="1789" w:val="left" w:leader="none"/>
        </w:tabs>
        <w:spacing w:line="240" w:lineRule="auto" w:before="0" w:after="0"/>
        <w:ind w:left="1792" w:right="1262" w:hanging="1512"/>
        <w:jc w:val="left"/>
        <w:rPr>
          <w:sz w:val="24"/>
        </w:rPr>
      </w:pPr>
      <w:r>
        <w:rPr>
          <w:sz w:val="24"/>
        </w:rPr>
        <w:t>A list of the pollutants from section 7.2 that the Discharger is required to monitor;</w:t>
      </w:r>
    </w:p>
    <w:p>
      <w:pPr>
        <w:pStyle w:val="BodyText"/>
        <w:spacing w:before="9"/>
        <w:rPr>
          <w:sz w:val="20"/>
        </w:rPr>
      </w:pPr>
    </w:p>
    <w:p>
      <w:pPr>
        <w:pStyle w:val="ListParagraph"/>
        <w:numPr>
          <w:ilvl w:val="5"/>
          <w:numId w:val="10"/>
        </w:numPr>
        <w:tabs>
          <w:tab w:pos="1790" w:val="left" w:leader="none"/>
          <w:tab w:pos="1791" w:val="left" w:leader="none"/>
        </w:tabs>
        <w:spacing w:line="448" w:lineRule="auto" w:before="0" w:after="0"/>
        <w:ind w:left="280" w:right="5130" w:firstLine="0"/>
        <w:jc w:val="left"/>
        <w:rPr>
          <w:sz w:val="24"/>
        </w:rPr>
      </w:pPr>
      <w:r>
        <w:rPr>
          <w:sz w:val="24"/>
        </w:rPr>
        <w:t>Sampling and analysis procedures; 9.3.1.1.2.4.</w:t>
        <w:tab/>
        <w:t>Visual observation</w:t>
      </w:r>
      <w:r>
        <w:rPr>
          <w:spacing w:val="-6"/>
          <w:sz w:val="24"/>
        </w:rPr>
        <w:t> </w:t>
      </w:r>
      <w:r>
        <w:rPr>
          <w:sz w:val="24"/>
        </w:rPr>
        <w:t>procedures;</w:t>
      </w:r>
    </w:p>
    <w:p>
      <w:pPr>
        <w:pStyle w:val="ListParagraph"/>
        <w:numPr>
          <w:ilvl w:val="5"/>
          <w:numId w:val="11"/>
        </w:numPr>
        <w:tabs>
          <w:tab w:pos="1790" w:val="left" w:leader="none"/>
          <w:tab w:pos="1791" w:val="left" w:leader="none"/>
        </w:tabs>
        <w:spacing w:line="240" w:lineRule="auto" w:before="0" w:after="0"/>
        <w:ind w:left="1792" w:right="2077" w:hanging="1512"/>
        <w:jc w:val="left"/>
        <w:rPr>
          <w:sz w:val="24"/>
        </w:rPr>
      </w:pPr>
      <w:r>
        <w:rPr>
          <w:sz w:val="24"/>
        </w:rPr>
        <w:t>Procedures for field instrument calibration instructions, including calibration intervals specified by the manufacturer;</w:t>
      </w:r>
      <w:r>
        <w:rPr>
          <w:spacing w:val="-12"/>
          <w:sz w:val="24"/>
        </w:rPr>
        <w:t> </w:t>
      </w:r>
      <w:r>
        <w:rPr>
          <w:sz w:val="24"/>
        </w:rPr>
        <w:t>and</w:t>
      </w:r>
    </w:p>
    <w:p>
      <w:pPr>
        <w:pStyle w:val="BodyText"/>
        <w:spacing w:before="10"/>
        <w:rPr>
          <w:sz w:val="20"/>
        </w:rPr>
      </w:pPr>
    </w:p>
    <w:p>
      <w:pPr>
        <w:pStyle w:val="ListParagraph"/>
        <w:numPr>
          <w:ilvl w:val="5"/>
          <w:numId w:val="11"/>
        </w:numPr>
        <w:tabs>
          <w:tab w:pos="1790" w:val="left" w:leader="none"/>
          <w:tab w:pos="1791" w:val="left" w:leader="none"/>
        </w:tabs>
        <w:spacing w:line="240" w:lineRule="auto" w:before="0" w:after="0"/>
        <w:ind w:left="1792" w:right="1516" w:hanging="1512"/>
        <w:jc w:val="left"/>
        <w:rPr>
          <w:sz w:val="24"/>
        </w:rPr>
      </w:pPr>
      <w:r>
        <w:rPr>
          <w:sz w:val="24"/>
        </w:rPr>
        <w:t>An example Chain of Custody form used when handling and shipping water quality samples to the</w:t>
      </w:r>
      <w:r>
        <w:rPr>
          <w:spacing w:val="-2"/>
          <w:sz w:val="24"/>
        </w:rPr>
        <w:t> </w:t>
      </w:r>
      <w:r>
        <w:rPr>
          <w:sz w:val="24"/>
        </w:rPr>
        <w:t>lab.</w:t>
      </w:r>
    </w:p>
    <w:p>
      <w:pPr>
        <w:pStyle w:val="BodyText"/>
        <w:spacing w:before="10"/>
        <w:rPr>
          <w:sz w:val="20"/>
        </w:rPr>
      </w:pPr>
    </w:p>
    <w:p>
      <w:pPr>
        <w:pStyle w:val="Heading1"/>
        <w:numPr>
          <w:ilvl w:val="2"/>
          <w:numId w:val="12"/>
        </w:numPr>
        <w:tabs>
          <w:tab w:pos="1100" w:val="left" w:leader="none"/>
          <w:tab w:pos="1101" w:val="left" w:leader="none"/>
        </w:tabs>
        <w:spacing w:line="240" w:lineRule="auto" w:before="0" w:after="0"/>
        <w:ind w:left="1100" w:right="0" w:hanging="821"/>
        <w:jc w:val="left"/>
      </w:pPr>
      <w:bookmarkStart w:name="_TOC_250018" w:id="34"/>
      <w:r>
        <w:rPr/>
        <w:t>Sampling and</w:t>
      </w:r>
      <w:r>
        <w:rPr>
          <w:spacing w:val="-1"/>
        </w:rPr>
        <w:t> </w:t>
      </w:r>
      <w:bookmarkEnd w:id="34"/>
      <w:r>
        <w:rPr/>
        <w:t>Analysis.</w:t>
      </w:r>
    </w:p>
    <w:p>
      <w:pPr>
        <w:pStyle w:val="BodyText"/>
        <w:spacing w:before="10"/>
        <w:rPr>
          <w:b/>
          <w:sz w:val="20"/>
        </w:rPr>
      </w:pPr>
    </w:p>
    <w:p>
      <w:pPr>
        <w:pStyle w:val="ListParagraph"/>
        <w:numPr>
          <w:ilvl w:val="3"/>
          <w:numId w:val="12"/>
        </w:numPr>
        <w:tabs>
          <w:tab w:pos="1359" w:val="left" w:leader="none"/>
          <w:tab w:pos="1360" w:val="left" w:leader="none"/>
        </w:tabs>
        <w:spacing w:line="240" w:lineRule="auto" w:before="0" w:after="0"/>
        <w:ind w:left="1359" w:right="0" w:hanging="1080"/>
        <w:jc w:val="left"/>
        <w:rPr>
          <w:sz w:val="24"/>
        </w:rPr>
      </w:pPr>
      <w:r>
        <w:rPr>
          <w:sz w:val="24"/>
        </w:rPr>
        <w:t>A Qualifying Storm Event (QSE) is a precipitation event</w:t>
      </w:r>
      <w:r>
        <w:rPr>
          <w:spacing w:val="-7"/>
          <w:sz w:val="24"/>
        </w:rPr>
        <w:t> </w:t>
      </w:r>
      <w:r>
        <w:rPr>
          <w:sz w:val="24"/>
        </w:rPr>
        <w:t>that:</w:t>
      </w:r>
    </w:p>
    <w:p>
      <w:pPr>
        <w:pStyle w:val="BodyText"/>
        <w:spacing w:before="10"/>
        <w:rPr>
          <w:sz w:val="20"/>
        </w:rPr>
      </w:pPr>
    </w:p>
    <w:p>
      <w:pPr>
        <w:pStyle w:val="ListParagraph"/>
        <w:numPr>
          <w:ilvl w:val="4"/>
          <w:numId w:val="12"/>
        </w:numPr>
        <w:tabs>
          <w:tab w:pos="1575" w:val="left" w:leader="none"/>
          <w:tab w:pos="1576" w:val="left" w:leader="none"/>
        </w:tabs>
        <w:spacing w:line="240" w:lineRule="auto" w:before="0" w:after="0"/>
        <w:ind w:left="1575" w:right="0" w:hanging="1296"/>
        <w:jc w:val="left"/>
        <w:rPr>
          <w:sz w:val="24"/>
        </w:rPr>
      </w:pPr>
      <w:r>
        <w:rPr>
          <w:sz w:val="24"/>
        </w:rPr>
        <w:t>Produces a discharge for at least one drainage area;</w:t>
      </w:r>
      <w:r>
        <w:rPr>
          <w:spacing w:val="-5"/>
          <w:sz w:val="24"/>
        </w:rPr>
        <w:t> </w:t>
      </w:r>
      <w:r>
        <w:rPr>
          <w:sz w:val="24"/>
        </w:rPr>
        <w:t>and</w:t>
      </w:r>
    </w:p>
    <w:p>
      <w:pPr>
        <w:spacing w:after="0" w:line="240" w:lineRule="auto"/>
        <w:jc w:val="left"/>
        <w:rPr>
          <w:sz w:val="24"/>
        </w:rPr>
        <w:sectPr>
          <w:pgSz w:w="12240" w:h="15840"/>
          <w:pgMar w:header="728" w:footer="788" w:top="1540" w:bottom="980" w:left="1160" w:right="420"/>
        </w:sectPr>
      </w:pPr>
    </w:p>
    <w:p>
      <w:pPr>
        <w:pStyle w:val="BodyText"/>
        <w:spacing w:before="11"/>
        <w:rPr>
          <w:sz w:val="15"/>
        </w:rPr>
      </w:pPr>
    </w:p>
    <w:p>
      <w:pPr>
        <w:pStyle w:val="ListParagraph"/>
        <w:numPr>
          <w:ilvl w:val="4"/>
          <w:numId w:val="12"/>
        </w:numPr>
        <w:tabs>
          <w:tab w:pos="1574" w:val="left" w:leader="none"/>
          <w:tab w:pos="1575" w:val="left" w:leader="none"/>
        </w:tabs>
        <w:spacing w:line="240" w:lineRule="auto" w:before="92" w:after="0"/>
        <w:ind w:left="1574" w:right="0" w:hanging="1295"/>
        <w:jc w:val="left"/>
        <w:rPr>
          <w:sz w:val="24"/>
        </w:rPr>
      </w:pPr>
      <w:r>
        <w:rPr>
          <w:sz w:val="24"/>
        </w:rPr>
        <w:t>Is preceded by 48 hours with no discharge from any drainage</w:t>
      </w:r>
      <w:r>
        <w:rPr>
          <w:spacing w:val="-10"/>
          <w:sz w:val="24"/>
        </w:rPr>
        <w:t> </w:t>
      </w:r>
      <w:r>
        <w:rPr>
          <w:sz w:val="24"/>
        </w:rPr>
        <w:t>area.</w:t>
      </w:r>
    </w:p>
    <w:p>
      <w:pPr>
        <w:pStyle w:val="BodyText"/>
        <w:spacing w:before="10"/>
        <w:rPr>
          <w:sz w:val="20"/>
        </w:rPr>
      </w:pPr>
    </w:p>
    <w:p>
      <w:pPr>
        <w:pStyle w:val="ListParagraph"/>
        <w:numPr>
          <w:ilvl w:val="3"/>
          <w:numId w:val="12"/>
        </w:numPr>
        <w:tabs>
          <w:tab w:pos="1358" w:val="left" w:leader="none"/>
          <w:tab w:pos="1359" w:val="left" w:leader="none"/>
        </w:tabs>
        <w:spacing w:line="240" w:lineRule="auto" w:before="0" w:after="0"/>
        <w:ind w:left="1360" w:right="1267" w:hanging="1080"/>
        <w:jc w:val="left"/>
        <w:rPr>
          <w:sz w:val="24"/>
        </w:rPr>
      </w:pPr>
      <w:r>
        <w:rPr>
          <w:sz w:val="24"/>
        </w:rPr>
        <w:t>The Discharger shall collect and analyze discharge samples from two (2) QSEs within the first half of each reporting period (July 1 to December 31</w:t>
      </w:r>
      <w:r>
        <w:rPr>
          <w:spacing w:val="-45"/>
          <w:sz w:val="24"/>
        </w:rPr>
        <w:t> </w:t>
      </w:r>
      <w:r>
        <w:rPr>
          <w:sz w:val="24"/>
        </w:rPr>
        <w:t>of the preceding year), and two (2) QSEs within the second half of each reporting period (January 1 to June</w:t>
      </w:r>
      <w:r>
        <w:rPr>
          <w:spacing w:val="-3"/>
          <w:sz w:val="24"/>
        </w:rPr>
        <w:t> </w:t>
      </w:r>
      <w:r>
        <w:rPr>
          <w:sz w:val="24"/>
        </w:rPr>
        <w:t>30).</w:t>
      </w:r>
    </w:p>
    <w:p>
      <w:pPr>
        <w:pStyle w:val="BodyText"/>
        <w:spacing w:before="10"/>
        <w:rPr>
          <w:sz w:val="20"/>
        </w:rPr>
      </w:pPr>
    </w:p>
    <w:p>
      <w:pPr>
        <w:pStyle w:val="ListParagraph"/>
        <w:numPr>
          <w:ilvl w:val="3"/>
          <w:numId w:val="12"/>
        </w:numPr>
        <w:tabs>
          <w:tab w:pos="1358" w:val="left" w:leader="none"/>
          <w:tab w:pos="1359" w:val="left" w:leader="none"/>
        </w:tabs>
        <w:spacing w:line="240" w:lineRule="auto" w:before="0" w:after="0"/>
        <w:ind w:left="1360" w:right="2096" w:hanging="1080"/>
        <w:jc w:val="left"/>
        <w:rPr>
          <w:sz w:val="24"/>
        </w:rPr>
      </w:pPr>
      <w:r>
        <w:rPr>
          <w:sz w:val="24"/>
        </w:rPr>
        <w:t>Samples shall be collected from each drainage area at all</w:t>
      </w:r>
      <w:r>
        <w:rPr>
          <w:spacing w:val="-39"/>
          <w:sz w:val="24"/>
        </w:rPr>
        <w:t> </w:t>
      </w:r>
      <w:r>
        <w:rPr>
          <w:sz w:val="24"/>
        </w:rPr>
        <w:t>discharge locations. The samples must</w:t>
      </w:r>
      <w:r>
        <w:rPr>
          <w:spacing w:val="-1"/>
          <w:sz w:val="24"/>
        </w:rPr>
        <w:t> </w:t>
      </w:r>
      <w:r>
        <w:rPr>
          <w:sz w:val="24"/>
        </w:rPr>
        <w:t>be:</w:t>
      </w:r>
    </w:p>
    <w:p>
      <w:pPr>
        <w:pStyle w:val="BodyText"/>
        <w:spacing w:before="10"/>
        <w:rPr>
          <w:sz w:val="20"/>
        </w:rPr>
      </w:pPr>
    </w:p>
    <w:p>
      <w:pPr>
        <w:pStyle w:val="ListParagraph"/>
        <w:numPr>
          <w:ilvl w:val="4"/>
          <w:numId w:val="12"/>
        </w:numPr>
        <w:tabs>
          <w:tab w:pos="1574" w:val="left" w:leader="none"/>
          <w:tab w:pos="1575" w:val="left" w:leader="none"/>
        </w:tabs>
        <w:spacing w:line="240" w:lineRule="auto" w:before="0" w:after="0"/>
        <w:ind w:left="1576" w:right="1455" w:hanging="1296"/>
        <w:jc w:val="left"/>
        <w:rPr>
          <w:sz w:val="24"/>
        </w:rPr>
      </w:pPr>
      <w:r>
        <w:rPr>
          <w:sz w:val="24"/>
        </w:rPr>
        <w:t>Representative of stormwater associated with the Discharger’s</w:t>
      </w:r>
      <w:r>
        <w:rPr>
          <w:spacing w:val="-49"/>
          <w:sz w:val="24"/>
        </w:rPr>
        <w:t> </w:t>
      </w:r>
      <w:r>
        <w:rPr>
          <w:sz w:val="24"/>
        </w:rPr>
        <w:t>activities and any commingled authorized NSWDs;</w:t>
      </w:r>
      <w:r>
        <w:rPr>
          <w:spacing w:val="-3"/>
          <w:sz w:val="24"/>
        </w:rPr>
        <w:t> </w:t>
      </w:r>
      <w:r>
        <w:rPr>
          <w:sz w:val="24"/>
        </w:rPr>
        <w:t>or</w:t>
      </w:r>
    </w:p>
    <w:p>
      <w:pPr>
        <w:pStyle w:val="BodyText"/>
        <w:spacing w:before="10"/>
        <w:rPr>
          <w:sz w:val="20"/>
        </w:rPr>
      </w:pPr>
    </w:p>
    <w:p>
      <w:pPr>
        <w:pStyle w:val="ListParagraph"/>
        <w:numPr>
          <w:ilvl w:val="4"/>
          <w:numId w:val="12"/>
        </w:numPr>
        <w:tabs>
          <w:tab w:pos="1574" w:val="left" w:leader="none"/>
          <w:tab w:pos="1575" w:val="left" w:leader="none"/>
        </w:tabs>
        <w:spacing w:line="240" w:lineRule="auto" w:before="1" w:after="0"/>
        <w:ind w:left="1574" w:right="0" w:hanging="1295"/>
        <w:jc w:val="left"/>
        <w:rPr>
          <w:sz w:val="24"/>
        </w:rPr>
      </w:pPr>
      <w:r>
        <w:rPr>
          <w:sz w:val="24"/>
        </w:rPr>
        <w:t>Associated with the discharge of contained</w:t>
      </w:r>
      <w:r>
        <w:rPr>
          <w:spacing w:val="-3"/>
          <w:sz w:val="24"/>
        </w:rPr>
        <w:t> </w:t>
      </w:r>
      <w:r>
        <w:rPr>
          <w:sz w:val="24"/>
        </w:rPr>
        <w:t>stormwater.</w:t>
      </w:r>
    </w:p>
    <w:p>
      <w:pPr>
        <w:pStyle w:val="BodyText"/>
        <w:spacing w:before="9"/>
        <w:rPr>
          <w:sz w:val="20"/>
        </w:rPr>
      </w:pPr>
    </w:p>
    <w:p>
      <w:pPr>
        <w:pStyle w:val="ListParagraph"/>
        <w:numPr>
          <w:ilvl w:val="3"/>
          <w:numId w:val="12"/>
        </w:numPr>
        <w:tabs>
          <w:tab w:pos="1359" w:val="left" w:leader="none"/>
          <w:tab w:pos="1360" w:val="left" w:leader="none"/>
        </w:tabs>
        <w:spacing w:line="240" w:lineRule="auto" w:before="1" w:after="0"/>
        <w:ind w:left="1359" w:right="1133" w:hanging="1080"/>
        <w:jc w:val="left"/>
        <w:rPr>
          <w:sz w:val="24"/>
        </w:rPr>
      </w:pPr>
      <w:r>
        <w:rPr>
          <w:sz w:val="24"/>
        </w:rPr>
        <w:t>Samples from each discharge location shall be collected within four (4) hours of:</w:t>
      </w:r>
    </w:p>
    <w:p>
      <w:pPr>
        <w:pStyle w:val="BodyText"/>
        <w:spacing w:before="9"/>
        <w:rPr>
          <w:sz w:val="20"/>
        </w:rPr>
      </w:pPr>
    </w:p>
    <w:p>
      <w:pPr>
        <w:pStyle w:val="ListParagraph"/>
        <w:numPr>
          <w:ilvl w:val="4"/>
          <w:numId w:val="12"/>
        </w:numPr>
        <w:tabs>
          <w:tab w:pos="1575" w:val="left" w:leader="none"/>
          <w:tab w:pos="1576" w:val="left" w:leader="none"/>
        </w:tabs>
        <w:spacing w:line="240" w:lineRule="auto" w:before="1" w:after="0"/>
        <w:ind w:left="1575" w:right="0" w:hanging="1297"/>
        <w:jc w:val="left"/>
        <w:rPr>
          <w:sz w:val="24"/>
        </w:rPr>
      </w:pPr>
      <w:r>
        <w:rPr>
          <w:sz w:val="24"/>
        </w:rPr>
        <w:t>The start of the discharge;</w:t>
      </w:r>
      <w:r>
        <w:rPr>
          <w:spacing w:val="-1"/>
          <w:sz w:val="24"/>
        </w:rPr>
        <w:t> </w:t>
      </w:r>
      <w:r>
        <w:rPr>
          <w:sz w:val="24"/>
        </w:rPr>
        <w:t>or</w:t>
      </w:r>
    </w:p>
    <w:p>
      <w:pPr>
        <w:pStyle w:val="BodyText"/>
        <w:spacing w:before="9"/>
        <w:rPr>
          <w:sz w:val="20"/>
        </w:rPr>
      </w:pPr>
    </w:p>
    <w:p>
      <w:pPr>
        <w:pStyle w:val="ListParagraph"/>
        <w:numPr>
          <w:ilvl w:val="4"/>
          <w:numId w:val="12"/>
        </w:numPr>
        <w:tabs>
          <w:tab w:pos="1574" w:val="left" w:leader="none"/>
          <w:tab w:pos="1576" w:val="left" w:leader="none"/>
        </w:tabs>
        <w:spacing w:line="240" w:lineRule="auto" w:before="1" w:after="0"/>
        <w:ind w:left="1575" w:right="1091" w:hanging="1296"/>
        <w:jc w:val="left"/>
        <w:rPr>
          <w:sz w:val="24"/>
        </w:rPr>
      </w:pPr>
      <w:r>
        <w:rPr>
          <w:sz w:val="24"/>
        </w:rPr>
        <w:t>The start of facility operations if the QSE occurs within the previous 12- hour period (e.g., for storms with discharges that begin during the night for facilities with day-time operating hours). Sample collection is required during scheduled facility operating hours and when sampling conditions are safe in accordance with section 2.2.5.1 of the MRP (Attachment</w:t>
      </w:r>
      <w:r>
        <w:rPr>
          <w:spacing w:val="-19"/>
          <w:sz w:val="24"/>
        </w:rPr>
        <w:t> </w:t>
      </w:r>
      <w:r>
        <w:rPr>
          <w:sz w:val="24"/>
        </w:rPr>
        <w:t>E).</w:t>
      </w:r>
    </w:p>
    <w:p>
      <w:pPr>
        <w:pStyle w:val="BodyText"/>
        <w:spacing w:before="10"/>
        <w:rPr>
          <w:sz w:val="20"/>
        </w:rPr>
      </w:pPr>
    </w:p>
    <w:p>
      <w:pPr>
        <w:pStyle w:val="ListParagraph"/>
        <w:numPr>
          <w:ilvl w:val="3"/>
          <w:numId w:val="12"/>
        </w:numPr>
        <w:tabs>
          <w:tab w:pos="1358" w:val="left" w:leader="none"/>
          <w:tab w:pos="1359" w:val="left" w:leader="none"/>
        </w:tabs>
        <w:spacing w:line="240" w:lineRule="auto" w:before="0" w:after="0"/>
        <w:ind w:left="1359" w:right="1335" w:hanging="1080"/>
        <w:jc w:val="left"/>
        <w:rPr>
          <w:sz w:val="24"/>
        </w:rPr>
      </w:pPr>
      <w:r>
        <w:rPr>
          <w:sz w:val="24"/>
        </w:rPr>
        <w:t>The Discharger shall analyze all collected samples for each parameter with an established effluent limitation in section 7 of this</w:t>
      </w:r>
      <w:r>
        <w:rPr>
          <w:spacing w:val="-9"/>
          <w:sz w:val="24"/>
        </w:rPr>
        <w:t> </w:t>
      </w:r>
      <w:r>
        <w:rPr>
          <w:sz w:val="24"/>
        </w:rPr>
        <w:t>Order.</w:t>
      </w:r>
    </w:p>
    <w:p>
      <w:pPr>
        <w:pStyle w:val="BodyText"/>
        <w:spacing w:before="10"/>
        <w:rPr>
          <w:sz w:val="20"/>
        </w:rPr>
      </w:pPr>
    </w:p>
    <w:p>
      <w:pPr>
        <w:pStyle w:val="ListParagraph"/>
        <w:numPr>
          <w:ilvl w:val="3"/>
          <w:numId w:val="12"/>
        </w:numPr>
        <w:tabs>
          <w:tab w:pos="1358" w:val="left" w:leader="none"/>
          <w:tab w:pos="1359" w:val="left" w:leader="none"/>
        </w:tabs>
        <w:spacing w:line="240" w:lineRule="auto" w:before="0" w:after="0"/>
        <w:ind w:left="1359" w:right="1051" w:hanging="1080"/>
        <w:jc w:val="left"/>
        <w:rPr>
          <w:sz w:val="24"/>
        </w:rPr>
      </w:pPr>
      <w:r>
        <w:rPr>
          <w:sz w:val="24"/>
        </w:rPr>
        <w:t>The Discharger shall select corresponding analytical test methods and reporting units from 40 CFR part 136. SMARTS will be updated over time to add additional acceptable analytical test methods. Dischargers may propose an analytical test method for any parameter or pollutant that does not have an analytical test method specified at 40 CFR part 136 or in SMARTS. Dischargers may also propose analytical test methods with substantially similar or more stringent method detection limits (MDLs) than existing approved analytical test methods. Upon approval, the analytical test method will be added to</w:t>
      </w:r>
      <w:r>
        <w:rPr>
          <w:spacing w:val="-1"/>
          <w:sz w:val="24"/>
        </w:rPr>
        <w:t> </w:t>
      </w:r>
      <w:r>
        <w:rPr>
          <w:sz w:val="24"/>
        </w:rPr>
        <w:t>SMARTS.</w:t>
      </w:r>
    </w:p>
    <w:p>
      <w:pPr>
        <w:pStyle w:val="BodyText"/>
        <w:spacing w:before="9"/>
        <w:rPr>
          <w:sz w:val="20"/>
        </w:rPr>
      </w:pPr>
    </w:p>
    <w:p>
      <w:pPr>
        <w:pStyle w:val="ListParagraph"/>
        <w:numPr>
          <w:ilvl w:val="3"/>
          <w:numId w:val="12"/>
        </w:numPr>
        <w:tabs>
          <w:tab w:pos="1359" w:val="left" w:leader="none"/>
          <w:tab w:pos="1360" w:val="left" w:leader="none"/>
        </w:tabs>
        <w:spacing w:line="240" w:lineRule="auto" w:before="0" w:after="0"/>
        <w:ind w:left="1359" w:right="1134" w:hanging="1080"/>
        <w:jc w:val="left"/>
        <w:rPr>
          <w:sz w:val="24"/>
        </w:rPr>
      </w:pPr>
      <w:r>
        <w:rPr>
          <w:sz w:val="24"/>
        </w:rPr>
        <w:t>The Discharger shall ensure that the collection, preservation, and handling of all samples are in accordance with section 2 of the MRP (Attachment</w:t>
      </w:r>
      <w:r>
        <w:rPr>
          <w:spacing w:val="-29"/>
          <w:sz w:val="24"/>
        </w:rPr>
        <w:t> </w:t>
      </w:r>
      <w:r>
        <w:rPr>
          <w:sz w:val="24"/>
        </w:rPr>
        <w:t>E).</w:t>
      </w:r>
    </w:p>
    <w:p>
      <w:pPr>
        <w:pStyle w:val="BodyText"/>
        <w:spacing w:before="10"/>
        <w:rPr>
          <w:sz w:val="20"/>
        </w:rPr>
      </w:pPr>
    </w:p>
    <w:p>
      <w:pPr>
        <w:pStyle w:val="ListParagraph"/>
        <w:numPr>
          <w:ilvl w:val="3"/>
          <w:numId w:val="12"/>
        </w:numPr>
        <w:tabs>
          <w:tab w:pos="1359" w:val="left" w:leader="none"/>
          <w:tab w:pos="1360" w:val="left" w:leader="none"/>
        </w:tabs>
        <w:spacing w:line="240" w:lineRule="auto" w:before="0" w:after="0"/>
        <w:ind w:left="1359" w:right="2083" w:hanging="1080"/>
        <w:jc w:val="left"/>
        <w:rPr>
          <w:sz w:val="24"/>
        </w:rPr>
      </w:pPr>
      <w:r>
        <w:rPr>
          <w:sz w:val="24"/>
        </w:rPr>
        <w:t>Samples from different discharge locations shall not be combined</w:t>
      </w:r>
      <w:r>
        <w:rPr>
          <w:spacing w:val="-42"/>
          <w:sz w:val="24"/>
        </w:rPr>
        <w:t> </w:t>
      </w:r>
      <w:r>
        <w:rPr>
          <w:sz w:val="24"/>
        </w:rPr>
        <w:t>or composited.</w:t>
      </w:r>
    </w:p>
    <w:p>
      <w:pPr>
        <w:pStyle w:val="BodyText"/>
        <w:spacing w:before="10"/>
        <w:rPr>
          <w:sz w:val="20"/>
        </w:rPr>
      </w:pPr>
    </w:p>
    <w:p>
      <w:pPr>
        <w:pStyle w:val="ListParagraph"/>
        <w:numPr>
          <w:ilvl w:val="3"/>
          <w:numId w:val="12"/>
        </w:numPr>
        <w:tabs>
          <w:tab w:pos="1358" w:val="left" w:leader="none"/>
          <w:tab w:pos="1359" w:val="left" w:leader="none"/>
        </w:tabs>
        <w:spacing w:line="240" w:lineRule="auto" w:before="0" w:after="0"/>
        <w:ind w:left="1359" w:right="1098" w:hanging="1080"/>
        <w:jc w:val="left"/>
        <w:rPr>
          <w:sz w:val="24"/>
        </w:rPr>
      </w:pPr>
      <w:r>
        <w:rPr>
          <w:sz w:val="24"/>
        </w:rPr>
        <w:t>The</w:t>
      </w:r>
      <w:r>
        <w:rPr>
          <w:spacing w:val="-7"/>
          <w:sz w:val="24"/>
        </w:rPr>
        <w:t> </w:t>
      </w:r>
      <w:r>
        <w:rPr>
          <w:sz w:val="24"/>
        </w:rPr>
        <w:t>Discharger</w:t>
      </w:r>
      <w:r>
        <w:rPr>
          <w:spacing w:val="-6"/>
          <w:sz w:val="24"/>
        </w:rPr>
        <w:t> </w:t>
      </w:r>
      <w:r>
        <w:rPr>
          <w:sz w:val="24"/>
        </w:rPr>
        <w:t>is</w:t>
      </w:r>
      <w:r>
        <w:rPr>
          <w:spacing w:val="-6"/>
          <w:sz w:val="24"/>
        </w:rPr>
        <w:t> </w:t>
      </w:r>
      <w:r>
        <w:rPr>
          <w:sz w:val="24"/>
        </w:rPr>
        <w:t>required</w:t>
      </w:r>
      <w:r>
        <w:rPr>
          <w:spacing w:val="-6"/>
          <w:sz w:val="24"/>
        </w:rPr>
        <w:t> </w:t>
      </w:r>
      <w:r>
        <w:rPr>
          <w:sz w:val="24"/>
        </w:rPr>
        <w:t>to</w:t>
      </w:r>
      <w:r>
        <w:rPr>
          <w:spacing w:val="-6"/>
          <w:sz w:val="24"/>
        </w:rPr>
        <w:t> </w:t>
      </w:r>
      <w:r>
        <w:rPr>
          <w:sz w:val="24"/>
        </w:rPr>
        <w:t>identify,</w:t>
      </w:r>
      <w:r>
        <w:rPr>
          <w:spacing w:val="-6"/>
          <w:sz w:val="24"/>
        </w:rPr>
        <w:t> </w:t>
      </w:r>
      <w:r>
        <w:rPr>
          <w:sz w:val="24"/>
        </w:rPr>
        <w:t>when</w:t>
      </w:r>
      <w:r>
        <w:rPr>
          <w:spacing w:val="-6"/>
          <w:sz w:val="24"/>
        </w:rPr>
        <w:t> </w:t>
      </w:r>
      <w:r>
        <w:rPr>
          <w:sz w:val="24"/>
        </w:rPr>
        <w:t>practicable,</w:t>
      </w:r>
      <w:r>
        <w:rPr>
          <w:spacing w:val="-6"/>
          <w:sz w:val="24"/>
        </w:rPr>
        <w:t> </w:t>
      </w:r>
      <w:r>
        <w:rPr>
          <w:sz w:val="24"/>
        </w:rPr>
        <w:t>alternative</w:t>
      </w:r>
      <w:r>
        <w:rPr>
          <w:spacing w:val="-6"/>
          <w:sz w:val="24"/>
        </w:rPr>
        <w:t> </w:t>
      </w:r>
      <w:r>
        <w:rPr>
          <w:sz w:val="24"/>
        </w:rPr>
        <w:t>discharge locations for any discharge locations identified in accordance with</w:t>
      </w:r>
      <w:r>
        <w:rPr>
          <w:spacing w:val="-36"/>
          <w:sz w:val="24"/>
        </w:rPr>
        <w:t> </w:t>
      </w:r>
      <w:r>
        <w:rPr>
          <w:sz w:val="24"/>
        </w:rPr>
        <w:t>Sections</w:t>
      </w:r>
    </w:p>
    <w:p>
      <w:pPr>
        <w:spacing w:after="0" w:line="240" w:lineRule="auto"/>
        <w:jc w:val="left"/>
        <w:rPr>
          <w:sz w:val="24"/>
        </w:rPr>
        <w:sectPr>
          <w:pgSz w:w="12240" w:h="15840"/>
          <w:pgMar w:header="728" w:footer="788" w:top="1540" w:bottom="980" w:left="1160" w:right="420"/>
        </w:sectPr>
      </w:pPr>
    </w:p>
    <w:p>
      <w:pPr>
        <w:pStyle w:val="BodyText"/>
        <w:spacing w:before="11"/>
        <w:rPr>
          <w:sz w:val="15"/>
        </w:rPr>
      </w:pPr>
    </w:p>
    <w:p>
      <w:pPr>
        <w:pStyle w:val="BodyText"/>
        <w:spacing w:before="92"/>
        <w:ind w:left="1359" w:right="1196"/>
      </w:pPr>
      <w:r>
        <w:rPr/>
        <w:t>9.3.2.1.1.and 9.3.2.3 that are difficult to observe or sample (e.g., submerged discharge outlets, dangerous discharge location accessibility). The Discharger shall submit and certify via SMARTS any alternative discharge location or revisions to the alternative discharge locations in the Monitoring Plan.</w:t>
      </w:r>
    </w:p>
    <w:p>
      <w:pPr>
        <w:pStyle w:val="BodyText"/>
        <w:spacing w:before="10"/>
        <w:rPr>
          <w:sz w:val="20"/>
        </w:rPr>
      </w:pPr>
    </w:p>
    <w:p>
      <w:pPr>
        <w:pStyle w:val="ListParagraph"/>
        <w:numPr>
          <w:ilvl w:val="3"/>
          <w:numId w:val="12"/>
        </w:numPr>
        <w:tabs>
          <w:tab w:pos="1360" w:val="left" w:leader="none"/>
        </w:tabs>
        <w:spacing w:line="240" w:lineRule="auto" w:before="0" w:after="0"/>
        <w:ind w:left="1359" w:right="1068" w:hanging="1080"/>
        <w:jc w:val="left"/>
        <w:rPr>
          <w:sz w:val="24"/>
        </w:rPr>
      </w:pPr>
      <w:r>
        <w:rPr>
          <w:sz w:val="24"/>
        </w:rPr>
        <w:t>The Discharger shall ensure that all laboratory analyses are performed according</w:t>
      </w:r>
      <w:r>
        <w:rPr>
          <w:spacing w:val="-6"/>
          <w:sz w:val="24"/>
        </w:rPr>
        <w:t> </w:t>
      </w:r>
      <w:r>
        <w:rPr>
          <w:sz w:val="24"/>
        </w:rPr>
        <w:t>to</w:t>
      </w:r>
      <w:r>
        <w:rPr>
          <w:spacing w:val="-6"/>
          <w:sz w:val="24"/>
        </w:rPr>
        <w:t> </w:t>
      </w:r>
      <w:r>
        <w:rPr>
          <w:sz w:val="24"/>
        </w:rPr>
        <w:t>sufficiently</w:t>
      </w:r>
      <w:r>
        <w:rPr>
          <w:spacing w:val="-6"/>
          <w:sz w:val="24"/>
        </w:rPr>
        <w:t> </w:t>
      </w:r>
      <w:r>
        <w:rPr>
          <w:sz w:val="24"/>
        </w:rPr>
        <w:t>sensitive</w:t>
      </w:r>
      <w:r>
        <w:rPr>
          <w:spacing w:val="-6"/>
          <w:sz w:val="24"/>
        </w:rPr>
        <w:t> </w:t>
      </w:r>
      <w:r>
        <w:rPr>
          <w:sz w:val="24"/>
        </w:rPr>
        <w:t>test</w:t>
      </w:r>
      <w:r>
        <w:rPr>
          <w:spacing w:val="-5"/>
          <w:sz w:val="24"/>
        </w:rPr>
        <w:t> </w:t>
      </w:r>
      <w:r>
        <w:rPr>
          <w:sz w:val="24"/>
        </w:rPr>
        <w:t>procedures</w:t>
      </w:r>
      <w:r>
        <w:rPr>
          <w:spacing w:val="-6"/>
          <w:sz w:val="24"/>
        </w:rPr>
        <w:t> </w:t>
      </w:r>
      <w:r>
        <w:rPr>
          <w:sz w:val="24"/>
        </w:rPr>
        <w:t>and</w:t>
      </w:r>
      <w:r>
        <w:rPr>
          <w:spacing w:val="-6"/>
          <w:sz w:val="24"/>
        </w:rPr>
        <w:t> </w:t>
      </w:r>
      <w:r>
        <w:rPr>
          <w:sz w:val="24"/>
        </w:rPr>
        <w:t>conducted</w:t>
      </w:r>
      <w:r>
        <w:rPr>
          <w:spacing w:val="-6"/>
          <w:sz w:val="24"/>
        </w:rPr>
        <w:t> </w:t>
      </w:r>
      <w:r>
        <w:rPr>
          <w:sz w:val="24"/>
        </w:rPr>
        <w:t>according</w:t>
      </w:r>
      <w:r>
        <w:rPr>
          <w:spacing w:val="-5"/>
          <w:sz w:val="24"/>
        </w:rPr>
        <w:t> </w:t>
      </w:r>
      <w:r>
        <w:rPr>
          <w:sz w:val="24"/>
        </w:rPr>
        <w:t>to test procedures under 40 CFR part 136, including the observation of holding times, unless other test procedures have been specified in this General Permit, by the Los Angeles Water Board, or are required under 40 CFR Chapter I Subchapter</w:t>
      </w:r>
      <w:r>
        <w:rPr>
          <w:spacing w:val="-1"/>
          <w:sz w:val="24"/>
        </w:rPr>
        <w:t> </w:t>
      </w:r>
      <w:r>
        <w:rPr>
          <w:sz w:val="24"/>
        </w:rPr>
        <w:t>N.</w:t>
      </w:r>
    </w:p>
    <w:p>
      <w:pPr>
        <w:pStyle w:val="BodyText"/>
        <w:spacing w:before="10"/>
        <w:rPr>
          <w:sz w:val="20"/>
        </w:rPr>
      </w:pPr>
    </w:p>
    <w:p>
      <w:pPr>
        <w:pStyle w:val="Heading1"/>
        <w:numPr>
          <w:ilvl w:val="2"/>
          <w:numId w:val="12"/>
        </w:numPr>
        <w:tabs>
          <w:tab w:pos="1100" w:val="left" w:leader="none"/>
          <w:tab w:pos="1101" w:val="left" w:leader="none"/>
        </w:tabs>
        <w:spacing w:line="240" w:lineRule="auto" w:before="1" w:after="0"/>
        <w:ind w:left="1100" w:right="0" w:hanging="822"/>
        <w:jc w:val="left"/>
      </w:pPr>
      <w:bookmarkStart w:name="_TOC_250017" w:id="35"/>
      <w:r>
        <w:rPr/>
        <w:t>Sampling Event Visual</w:t>
      </w:r>
      <w:r>
        <w:rPr>
          <w:spacing w:val="-14"/>
        </w:rPr>
        <w:t> </w:t>
      </w:r>
      <w:bookmarkEnd w:id="35"/>
      <w:r>
        <w:rPr/>
        <w:t>Observations.</w:t>
      </w:r>
    </w:p>
    <w:p>
      <w:pPr>
        <w:pStyle w:val="BodyText"/>
        <w:spacing w:before="9"/>
        <w:rPr>
          <w:b/>
          <w:sz w:val="20"/>
        </w:rPr>
      </w:pPr>
    </w:p>
    <w:p>
      <w:pPr>
        <w:pStyle w:val="ListParagraph"/>
        <w:numPr>
          <w:ilvl w:val="3"/>
          <w:numId w:val="12"/>
        </w:numPr>
        <w:tabs>
          <w:tab w:pos="1358" w:val="left" w:leader="none"/>
          <w:tab w:pos="1360" w:val="left" w:leader="none"/>
        </w:tabs>
        <w:spacing w:line="240" w:lineRule="auto" w:before="1" w:after="0"/>
        <w:ind w:left="1359" w:right="1374" w:hanging="1080"/>
        <w:jc w:val="left"/>
        <w:rPr>
          <w:sz w:val="24"/>
        </w:rPr>
      </w:pPr>
      <w:r>
        <w:rPr>
          <w:sz w:val="24"/>
        </w:rPr>
        <w:t>The Discharger shall conduct visual observations of stormwater at the time that the discharge is</w:t>
      </w:r>
      <w:r>
        <w:rPr>
          <w:spacing w:val="-2"/>
          <w:sz w:val="24"/>
        </w:rPr>
        <w:t> </w:t>
      </w:r>
      <w:r>
        <w:rPr>
          <w:sz w:val="24"/>
        </w:rPr>
        <w:t>sampled.</w:t>
      </w:r>
    </w:p>
    <w:p>
      <w:pPr>
        <w:pStyle w:val="BodyText"/>
        <w:spacing w:before="9"/>
        <w:rPr>
          <w:sz w:val="20"/>
        </w:rPr>
      </w:pPr>
    </w:p>
    <w:p>
      <w:pPr>
        <w:pStyle w:val="ListParagraph"/>
        <w:numPr>
          <w:ilvl w:val="3"/>
          <w:numId w:val="12"/>
        </w:numPr>
        <w:tabs>
          <w:tab w:pos="1358" w:val="left" w:leader="none"/>
          <w:tab w:pos="1359" w:val="left" w:leader="none"/>
        </w:tabs>
        <w:spacing w:line="240" w:lineRule="auto" w:before="1" w:after="0"/>
        <w:ind w:left="1358" w:right="0" w:hanging="1080"/>
        <w:jc w:val="left"/>
        <w:rPr>
          <w:sz w:val="24"/>
        </w:rPr>
      </w:pPr>
      <w:r>
        <w:rPr>
          <w:sz w:val="24"/>
        </w:rPr>
        <w:t>The Discharger shall visually observe and record the</w:t>
      </w:r>
      <w:r>
        <w:rPr>
          <w:spacing w:val="-8"/>
          <w:sz w:val="24"/>
        </w:rPr>
        <w:t> </w:t>
      </w:r>
      <w:r>
        <w:rPr>
          <w:sz w:val="24"/>
        </w:rPr>
        <w:t>following:</w:t>
      </w:r>
    </w:p>
    <w:p>
      <w:pPr>
        <w:pStyle w:val="BodyText"/>
        <w:spacing w:before="9"/>
        <w:rPr>
          <w:sz w:val="20"/>
        </w:rPr>
      </w:pPr>
    </w:p>
    <w:p>
      <w:pPr>
        <w:pStyle w:val="ListParagraph"/>
        <w:numPr>
          <w:ilvl w:val="4"/>
          <w:numId w:val="12"/>
        </w:numPr>
        <w:tabs>
          <w:tab w:pos="1575" w:val="left" w:leader="none"/>
          <w:tab w:pos="1576" w:val="left" w:leader="none"/>
        </w:tabs>
        <w:spacing w:line="240" w:lineRule="auto" w:before="1" w:after="0"/>
        <w:ind w:left="1575" w:right="1663" w:hanging="1296"/>
        <w:jc w:val="left"/>
        <w:rPr>
          <w:sz w:val="24"/>
        </w:rPr>
      </w:pPr>
      <w:r>
        <w:rPr>
          <w:sz w:val="24"/>
        </w:rPr>
        <w:t>The presence or indications of prior, current, or potential unauthorized NSWDs and their</w:t>
      </w:r>
      <w:r>
        <w:rPr>
          <w:spacing w:val="-1"/>
          <w:sz w:val="24"/>
        </w:rPr>
        <w:t> </w:t>
      </w:r>
      <w:r>
        <w:rPr>
          <w:sz w:val="24"/>
        </w:rPr>
        <w:t>sources;</w:t>
      </w:r>
    </w:p>
    <w:p>
      <w:pPr>
        <w:pStyle w:val="BodyText"/>
        <w:spacing w:before="10"/>
        <w:rPr>
          <w:sz w:val="20"/>
        </w:rPr>
      </w:pPr>
    </w:p>
    <w:p>
      <w:pPr>
        <w:pStyle w:val="ListParagraph"/>
        <w:numPr>
          <w:ilvl w:val="4"/>
          <w:numId w:val="12"/>
        </w:numPr>
        <w:tabs>
          <w:tab w:pos="1574" w:val="left" w:leader="none"/>
          <w:tab w:pos="1575" w:val="left" w:leader="none"/>
        </w:tabs>
        <w:spacing w:line="240" w:lineRule="auto" w:before="0" w:after="0"/>
        <w:ind w:left="1575" w:right="1240" w:hanging="1296"/>
        <w:jc w:val="left"/>
        <w:rPr>
          <w:sz w:val="24"/>
        </w:rPr>
      </w:pPr>
      <w:r>
        <w:rPr>
          <w:sz w:val="24"/>
        </w:rPr>
        <w:t>Authorized NSWDs, sources, and associated BMPs to ensure compliance with section 5 of this</w:t>
      </w:r>
      <w:r>
        <w:rPr>
          <w:spacing w:val="-1"/>
          <w:sz w:val="24"/>
        </w:rPr>
        <w:t> </w:t>
      </w:r>
      <w:r>
        <w:rPr>
          <w:sz w:val="24"/>
        </w:rPr>
        <w:t>Order;</w:t>
      </w:r>
    </w:p>
    <w:p>
      <w:pPr>
        <w:pStyle w:val="BodyText"/>
        <w:spacing w:before="10"/>
        <w:rPr>
          <w:sz w:val="20"/>
        </w:rPr>
      </w:pPr>
    </w:p>
    <w:p>
      <w:pPr>
        <w:pStyle w:val="ListParagraph"/>
        <w:numPr>
          <w:ilvl w:val="4"/>
          <w:numId w:val="12"/>
        </w:numPr>
        <w:tabs>
          <w:tab w:pos="1574" w:val="left" w:leader="none"/>
          <w:tab w:pos="1575" w:val="left" w:leader="none"/>
        </w:tabs>
        <w:spacing w:line="240" w:lineRule="auto" w:before="0" w:after="0"/>
        <w:ind w:left="1575" w:right="1211" w:hanging="1296"/>
        <w:jc w:val="left"/>
        <w:rPr>
          <w:sz w:val="24"/>
        </w:rPr>
      </w:pPr>
      <w:r>
        <w:rPr>
          <w:sz w:val="24"/>
        </w:rPr>
        <w:t>Outdoor commercial and/or industrial equipment and storage areas, outdoor industrial activities areas, BMPs, and all other potential sources of industrial pollutants;</w:t>
      </w:r>
      <w:r>
        <w:rPr>
          <w:spacing w:val="-1"/>
          <w:sz w:val="24"/>
        </w:rPr>
        <w:t> </w:t>
      </w:r>
      <w:r>
        <w:rPr>
          <w:sz w:val="24"/>
        </w:rPr>
        <w:t>and</w:t>
      </w:r>
    </w:p>
    <w:p>
      <w:pPr>
        <w:pStyle w:val="BodyText"/>
        <w:spacing w:before="9"/>
        <w:rPr>
          <w:sz w:val="20"/>
        </w:rPr>
      </w:pPr>
    </w:p>
    <w:p>
      <w:pPr>
        <w:pStyle w:val="ListParagraph"/>
        <w:numPr>
          <w:ilvl w:val="4"/>
          <w:numId w:val="12"/>
        </w:numPr>
        <w:tabs>
          <w:tab w:pos="1574" w:val="left" w:leader="none"/>
          <w:tab w:pos="1575" w:val="left" w:leader="none"/>
        </w:tabs>
        <w:spacing w:line="240" w:lineRule="auto" w:before="0" w:after="0"/>
        <w:ind w:left="1575" w:right="1327" w:hanging="1296"/>
        <w:jc w:val="left"/>
        <w:rPr>
          <w:sz w:val="24"/>
        </w:rPr>
      </w:pPr>
      <w:r>
        <w:rPr>
          <w:sz w:val="24"/>
        </w:rPr>
        <w:t>The presence or absence of floating and suspended materials, oil and grease, discolorations, turbidity, odors, trash/debris, and source(s) of any discharged</w:t>
      </w:r>
      <w:r>
        <w:rPr>
          <w:spacing w:val="-1"/>
          <w:sz w:val="24"/>
        </w:rPr>
        <w:t> </w:t>
      </w:r>
      <w:r>
        <w:rPr>
          <w:sz w:val="24"/>
        </w:rPr>
        <w:t>pollutants.</w:t>
      </w:r>
    </w:p>
    <w:p>
      <w:pPr>
        <w:pStyle w:val="BodyText"/>
        <w:spacing w:before="10"/>
        <w:rPr>
          <w:sz w:val="20"/>
        </w:rPr>
      </w:pPr>
    </w:p>
    <w:p>
      <w:pPr>
        <w:pStyle w:val="ListParagraph"/>
        <w:numPr>
          <w:ilvl w:val="4"/>
          <w:numId w:val="12"/>
        </w:numPr>
        <w:tabs>
          <w:tab w:pos="1575" w:val="left" w:leader="none"/>
          <w:tab w:pos="1576" w:val="left" w:leader="none"/>
        </w:tabs>
        <w:spacing w:line="240" w:lineRule="auto" w:before="0" w:after="0"/>
        <w:ind w:left="1575" w:right="1079" w:hanging="1296"/>
        <w:jc w:val="left"/>
        <w:rPr>
          <w:sz w:val="24"/>
        </w:rPr>
      </w:pPr>
      <w:r>
        <w:rPr>
          <w:sz w:val="24"/>
        </w:rPr>
        <w:t>In the event that a discharge location is not visually observed during the sampling event, the Discharger shall record which discharge locations were not observed during sampling or that there was no discharge from the discharge</w:t>
      </w:r>
      <w:r>
        <w:rPr>
          <w:spacing w:val="-1"/>
          <w:sz w:val="24"/>
        </w:rPr>
        <w:t> </w:t>
      </w:r>
      <w:r>
        <w:rPr>
          <w:sz w:val="24"/>
        </w:rPr>
        <w:t>location.</w:t>
      </w:r>
    </w:p>
    <w:p>
      <w:pPr>
        <w:pStyle w:val="BodyText"/>
        <w:spacing w:before="10"/>
        <w:rPr>
          <w:sz w:val="20"/>
        </w:rPr>
      </w:pPr>
    </w:p>
    <w:p>
      <w:pPr>
        <w:pStyle w:val="ListParagraph"/>
        <w:numPr>
          <w:ilvl w:val="4"/>
          <w:numId w:val="12"/>
        </w:numPr>
        <w:tabs>
          <w:tab w:pos="1574" w:val="left" w:leader="none"/>
          <w:tab w:pos="1575" w:val="left" w:leader="none"/>
        </w:tabs>
        <w:spacing w:line="240" w:lineRule="auto" w:before="0" w:after="0"/>
        <w:ind w:left="1575" w:right="1173" w:hanging="1296"/>
        <w:jc w:val="left"/>
        <w:rPr>
          <w:sz w:val="24"/>
        </w:rPr>
      </w:pPr>
      <w:r>
        <w:rPr>
          <w:sz w:val="24"/>
        </w:rPr>
        <w:t>The Discharger shall provide an explanation via SMARTS for uncompleted sampling event and visual</w:t>
      </w:r>
      <w:r>
        <w:rPr>
          <w:spacing w:val="-2"/>
          <w:sz w:val="24"/>
        </w:rPr>
        <w:t> </w:t>
      </w:r>
      <w:r>
        <w:rPr>
          <w:sz w:val="24"/>
        </w:rPr>
        <w:t>observations.</w:t>
      </w:r>
    </w:p>
    <w:p>
      <w:pPr>
        <w:pStyle w:val="BodyText"/>
        <w:spacing w:before="10"/>
        <w:rPr>
          <w:sz w:val="20"/>
        </w:rPr>
      </w:pPr>
    </w:p>
    <w:p>
      <w:pPr>
        <w:pStyle w:val="Heading1"/>
        <w:numPr>
          <w:ilvl w:val="2"/>
          <w:numId w:val="12"/>
        </w:numPr>
        <w:tabs>
          <w:tab w:pos="1100" w:val="left" w:leader="none"/>
          <w:tab w:pos="1101" w:val="left" w:leader="none"/>
        </w:tabs>
        <w:spacing w:line="240" w:lineRule="auto" w:before="0" w:after="0"/>
        <w:ind w:left="1100" w:right="0" w:hanging="822"/>
        <w:jc w:val="left"/>
      </w:pPr>
      <w:bookmarkStart w:name="_TOC_250016" w:id="36"/>
      <w:bookmarkEnd w:id="36"/>
      <w:r>
        <w:rPr/>
        <w:t>Reporting.</w:t>
      </w:r>
    </w:p>
    <w:p>
      <w:pPr>
        <w:pStyle w:val="BodyText"/>
        <w:spacing w:before="10"/>
        <w:rPr>
          <w:b/>
          <w:sz w:val="20"/>
        </w:rPr>
      </w:pPr>
    </w:p>
    <w:p>
      <w:pPr>
        <w:pStyle w:val="ListParagraph"/>
        <w:numPr>
          <w:ilvl w:val="3"/>
          <w:numId w:val="12"/>
        </w:numPr>
        <w:tabs>
          <w:tab w:pos="1359" w:val="left" w:leader="none"/>
        </w:tabs>
        <w:spacing w:line="240" w:lineRule="auto" w:before="0" w:after="0"/>
        <w:ind w:left="1359" w:right="1134" w:hanging="1080"/>
        <w:jc w:val="both"/>
        <w:rPr>
          <w:sz w:val="24"/>
        </w:rPr>
      </w:pPr>
      <w:r>
        <w:rPr>
          <w:sz w:val="24"/>
        </w:rPr>
        <w:t>The Discharger shall submit all visual observation records, and sampling and analytical results via SMARTS within 30 days of obtaining all results for each sampling</w:t>
      </w:r>
      <w:r>
        <w:rPr>
          <w:spacing w:val="-1"/>
          <w:sz w:val="24"/>
        </w:rPr>
        <w:t> </w:t>
      </w:r>
      <w:r>
        <w:rPr>
          <w:sz w:val="24"/>
        </w:rPr>
        <w:t>event.</w:t>
      </w:r>
    </w:p>
    <w:p>
      <w:pPr>
        <w:spacing w:after="0" w:line="240" w:lineRule="auto"/>
        <w:jc w:val="both"/>
        <w:rPr>
          <w:sz w:val="24"/>
        </w:rPr>
        <w:sectPr>
          <w:pgSz w:w="12240" w:h="15840"/>
          <w:pgMar w:header="728" w:footer="788" w:top="1540" w:bottom="980" w:left="1160" w:right="420"/>
        </w:sectPr>
      </w:pPr>
    </w:p>
    <w:p>
      <w:pPr>
        <w:pStyle w:val="BodyText"/>
        <w:spacing w:before="11"/>
        <w:rPr>
          <w:sz w:val="15"/>
        </w:rPr>
      </w:pPr>
    </w:p>
    <w:p>
      <w:pPr>
        <w:pStyle w:val="ListParagraph"/>
        <w:numPr>
          <w:ilvl w:val="3"/>
          <w:numId w:val="12"/>
        </w:numPr>
        <w:tabs>
          <w:tab w:pos="1358" w:val="left" w:leader="none"/>
          <w:tab w:pos="1359" w:val="left" w:leader="none"/>
        </w:tabs>
        <w:spacing w:line="240" w:lineRule="auto" w:before="92" w:after="0"/>
        <w:ind w:left="1360" w:right="1067" w:hanging="1080"/>
        <w:jc w:val="left"/>
        <w:rPr>
          <w:sz w:val="24"/>
        </w:rPr>
      </w:pPr>
      <w:r>
        <w:rPr>
          <w:sz w:val="24"/>
        </w:rPr>
        <w:t>The Discharger shall provide the MDL when an analytical result from samples taken is reported by the laboratory as a “non-detect" or less than the MDL. A value of zero shall not be</w:t>
      </w:r>
      <w:r>
        <w:rPr>
          <w:spacing w:val="-2"/>
          <w:sz w:val="24"/>
        </w:rPr>
        <w:t> </w:t>
      </w:r>
      <w:r>
        <w:rPr>
          <w:sz w:val="24"/>
        </w:rPr>
        <w:t>reported.</w:t>
      </w:r>
    </w:p>
    <w:p>
      <w:pPr>
        <w:pStyle w:val="BodyText"/>
        <w:spacing w:before="10"/>
        <w:rPr>
          <w:sz w:val="20"/>
        </w:rPr>
      </w:pPr>
    </w:p>
    <w:p>
      <w:pPr>
        <w:pStyle w:val="ListParagraph"/>
        <w:numPr>
          <w:ilvl w:val="3"/>
          <w:numId w:val="12"/>
        </w:numPr>
        <w:tabs>
          <w:tab w:pos="1358" w:val="left" w:leader="none"/>
          <w:tab w:pos="1359" w:val="left" w:leader="none"/>
        </w:tabs>
        <w:spacing w:line="240" w:lineRule="auto" w:before="0" w:after="0"/>
        <w:ind w:left="1360" w:right="1133" w:hanging="1080"/>
        <w:jc w:val="left"/>
        <w:rPr>
          <w:sz w:val="24"/>
        </w:rPr>
      </w:pPr>
      <w:r>
        <w:rPr>
          <w:sz w:val="24"/>
        </w:rPr>
        <w:t>The Discharger shall provide the analytical result from samples taken that is reported by the laboratory as below the minimum level (ML), often referred to as the reporting limit (RL), but above the</w:t>
      </w:r>
      <w:r>
        <w:rPr>
          <w:spacing w:val="-5"/>
          <w:sz w:val="24"/>
        </w:rPr>
        <w:t> </w:t>
      </w:r>
      <w:r>
        <w:rPr>
          <w:sz w:val="24"/>
        </w:rPr>
        <w:t>MDL.</w:t>
      </w:r>
    </w:p>
    <w:p>
      <w:pPr>
        <w:pStyle w:val="BodyText"/>
        <w:spacing w:before="10"/>
        <w:rPr>
          <w:sz w:val="20"/>
        </w:rPr>
      </w:pPr>
    </w:p>
    <w:p>
      <w:pPr>
        <w:pStyle w:val="Heading1"/>
        <w:numPr>
          <w:ilvl w:val="0"/>
          <w:numId w:val="4"/>
        </w:numPr>
        <w:tabs>
          <w:tab w:pos="640" w:val="left" w:leader="none"/>
        </w:tabs>
        <w:spacing w:line="240" w:lineRule="auto" w:before="0" w:after="0"/>
        <w:ind w:left="639" w:right="0" w:hanging="360"/>
        <w:jc w:val="left"/>
      </w:pPr>
      <w:bookmarkStart w:name="_TOC_250015" w:id="37"/>
      <w:bookmarkEnd w:id="37"/>
      <w:r>
        <w:rPr/>
        <w:t>PROVISIONS.</w:t>
      </w:r>
    </w:p>
    <w:p>
      <w:pPr>
        <w:pStyle w:val="BodyText"/>
        <w:rPr>
          <w:b/>
        </w:rPr>
      </w:pPr>
    </w:p>
    <w:p>
      <w:pPr>
        <w:pStyle w:val="BodyText"/>
        <w:ind w:left="640" w:right="1048"/>
      </w:pPr>
      <w:r>
        <w:rPr/>
        <w:t>Standard provisions, which apply to all NPDES permits in accordance with 40 CFR sections 122.41 and 122.42, are included in this Order. The Discharger must comply with all standard provisions and with those additional conditions that are applicable under 40 CFR section 122.42. The Los Angeles Water Board has also provided in this Order special provisions applicable to the Dischargers covered by this Order. A rationale for the special provisions contained in this Order is provided in the Fact Sheet (Attachment F).</w:t>
      </w:r>
    </w:p>
    <w:p>
      <w:pPr>
        <w:pStyle w:val="BodyText"/>
        <w:spacing w:before="10"/>
        <w:rPr>
          <w:sz w:val="20"/>
        </w:rPr>
      </w:pPr>
    </w:p>
    <w:p>
      <w:pPr>
        <w:pStyle w:val="Heading1"/>
        <w:numPr>
          <w:ilvl w:val="1"/>
          <w:numId w:val="4"/>
        </w:numPr>
        <w:tabs>
          <w:tab w:pos="871" w:val="left" w:leader="none"/>
        </w:tabs>
        <w:spacing w:line="240" w:lineRule="auto" w:before="1" w:after="0"/>
        <w:ind w:left="870" w:right="0" w:hanging="591"/>
        <w:jc w:val="left"/>
      </w:pPr>
      <w:bookmarkStart w:name="_TOC_250014" w:id="38"/>
      <w:bookmarkEnd w:id="38"/>
      <w:r>
        <w:rPr/>
        <w:t>Standard Provisions.</w:t>
      </w:r>
    </w:p>
    <w:p>
      <w:pPr>
        <w:pStyle w:val="BodyText"/>
        <w:spacing w:before="10"/>
        <w:rPr>
          <w:b/>
          <w:sz w:val="20"/>
        </w:rPr>
      </w:pPr>
    </w:p>
    <w:p>
      <w:pPr>
        <w:pStyle w:val="ListParagraph"/>
        <w:numPr>
          <w:ilvl w:val="2"/>
          <w:numId w:val="4"/>
        </w:numPr>
        <w:tabs>
          <w:tab w:pos="1100" w:val="left" w:leader="none"/>
        </w:tabs>
        <w:spacing w:line="240" w:lineRule="auto" w:before="0" w:after="0"/>
        <w:ind w:left="1100" w:right="1020" w:hanging="821"/>
        <w:jc w:val="left"/>
        <w:rPr>
          <w:sz w:val="24"/>
        </w:rPr>
      </w:pPr>
      <w:r>
        <w:rPr>
          <w:sz w:val="24"/>
        </w:rPr>
        <w:t>The Discharger shall comply with all Standard Provisions included in Attachment D of this General Permit. If there is any conflict, duplication, or overlap between provisions stated herein and the Standard Provisions in Attachment D, the provisions stated herein prevail.</w:t>
      </w:r>
    </w:p>
    <w:p>
      <w:pPr>
        <w:pStyle w:val="BodyText"/>
        <w:spacing w:before="10"/>
        <w:rPr>
          <w:sz w:val="20"/>
        </w:rPr>
      </w:pPr>
    </w:p>
    <w:p>
      <w:pPr>
        <w:pStyle w:val="ListParagraph"/>
        <w:numPr>
          <w:ilvl w:val="2"/>
          <w:numId w:val="4"/>
        </w:numPr>
        <w:tabs>
          <w:tab w:pos="1100" w:val="left" w:leader="none"/>
        </w:tabs>
        <w:spacing w:line="240" w:lineRule="auto" w:before="0" w:after="0"/>
        <w:ind w:left="1099" w:right="0" w:hanging="820"/>
        <w:jc w:val="left"/>
        <w:rPr>
          <w:sz w:val="24"/>
        </w:rPr>
      </w:pPr>
      <w:r>
        <w:rPr>
          <w:sz w:val="24"/>
        </w:rPr>
        <w:t>The Discharger shall comply with the following</w:t>
      </w:r>
      <w:r>
        <w:rPr>
          <w:spacing w:val="-4"/>
          <w:sz w:val="24"/>
        </w:rPr>
        <w:t> </w:t>
      </w:r>
      <w:r>
        <w:rPr>
          <w:sz w:val="24"/>
        </w:rPr>
        <w:t>provisions:</w:t>
      </w:r>
    </w:p>
    <w:p>
      <w:pPr>
        <w:pStyle w:val="BodyText"/>
        <w:spacing w:before="8"/>
        <w:rPr>
          <w:sz w:val="20"/>
        </w:rPr>
      </w:pPr>
    </w:p>
    <w:p>
      <w:pPr>
        <w:pStyle w:val="ListParagraph"/>
        <w:numPr>
          <w:ilvl w:val="3"/>
          <w:numId w:val="4"/>
        </w:numPr>
        <w:tabs>
          <w:tab w:pos="1360" w:val="left" w:leader="none"/>
        </w:tabs>
        <w:spacing w:line="240" w:lineRule="auto" w:before="1" w:after="0"/>
        <w:ind w:left="1360" w:right="1268" w:hanging="1080"/>
        <w:jc w:val="left"/>
        <w:rPr>
          <w:sz w:val="24"/>
        </w:rPr>
      </w:pPr>
      <w:r>
        <w:rPr>
          <w:sz w:val="24"/>
        </w:rPr>
        <w:t>The Executive Officer may require any Discharger authorized to discharge stormwater and authorized NSWDs under this Order to apply for and obtain an individual permit with more specific requirements for the discharges.</w:t>
      </w:r>
      <w:r>
        <w:rPr>
          <w:spacing w:val="-45"/>
          <w:sz w:val="24"/>
        </w:rPr>
        <w:t> </w:t>
      </w:r>
      <w:r>
        <w:rPr>
          <w:sz w:val="24"/>
        </w:rPr>
        <w:t>Any such requirement and related direction will be communicated by the Los Angeles Water Board to the</w:t>
      </w:r>
      <w:r>
        <w:rPr>
          <w:spacing w:val="-2"/>
          <w:sz w:val="24"/>
        </w:rPr>
        <w:t> </w:t>
      </w:r>
      <w:r>
        <w:rPr>
          <w:sz w:val="24"/>
        </w:rPr>
        <w:t>Discharger.</w:t>
      </w:r>
    </w:p>
    <w:p>
      <w:pPr>
        <w:pStyle w:val="BodyText"/>
        <w:spacing w:before="10"/>
        <w:rPr>
          <w:sz w:val="20"/>
        </w:rPr>
      </w:pPr>
    </w:p>
    <w:p>
      <w:pPr>
        <w:pStyle w:val="ListParagraph"/>
        <w:numPr>
          <w:ilvl w:val="3"/>
          <w:numId w:val="4"/>
        </w:numPr>
        <w:tabs>
          <w:tab w:pos="1360" w:val="left" w:leader="none"/>
        </w:tabs>
        <w:spacing w:line="240" w:lineRule="auto" w:before="0" w:after="0"/>
        <w:ind w:left="1360" w:right="1259" w:hanging="1080"/>
        <w:jc w:val="left"/>
        <w:rPr>
          <w:sz w:val="24"/>
        </w:rPr>
      </w:pPr>
      <w:r>
        <w:rPr>
          <w:sz w:val="24"/>
        </w:rPr>
        <w:t>Prior to use, the Discharger shall submit for Executive Officer's approval the list of chemicals and proprietary additives that may affect the discharge, including rates/quantities of application, compositions, characteristics, and material safety data sheets, if</w:t>
      </w:r>
      <w:r>
        <w:rPr>
          <w:spacing w:val="-2"/>
          <w:sz w:val="24"/>
        </w:rPr>
        <w:t> </w:t>
      </w:r>
      <w:r>
        <w:rPr>
          <w:sz w:val="24"/>
        </w:rPr>
        <w:t>any.</w:t>
      </w:r>
    </w:p>
    <w:p>
      <w:pPr>
        <w:pStyle w:val="BodyText"/>
        <w:spacing w:before="10"/>
        <w:rPr>
          <w:sz w:val="20"/>
        </w:rPr>
      </w:pPr>
    </w:p>
    <w:p>
      <w:pPr>
        <w:pStyle w:val="ListParagraph"/>
        <w:numPr>
          <w:ilvl w:val="3"/>
          <w:numId w:val="4"/>
        </w:numPr>
        <w:tabs>
          <w:tab w:pos="1360" w:val="left" w:leader="none"/>
        </w:tabs>
        <w:spacing w:line="240" w:lineRule="auto" w:before="0" w:after="0"/>
        <w:ind w:left="1360" w:right="1294" w:hanging="1080"/>
        <w:jc w:val="left"/>
        <w:rPr>
          <w:sz w:val="24"/>
        </w:rPr>
      </w:pPr>
      <w:r>
        <w:rPr>
          <w:sz w:val="24"/>
        </w:rPr>
        <w:t>Oil or oily materials, chemicals, refuse, or other materials that may cause pollution in stormwater and/or NSWDs shall not be stored or deposited in areas where they may be picked up by rainfall/NSWDs and discharged to surface waters. Any spill of such materials shall be contained, removed</w:t>
      </w:r>
      <w:r>
        <w:rPr>
          <w:spacing w:val="-48"/>
          <w:sz w:val="24"/>
        </w:rPr>
        <w:t> </w:t>
      </w:r>
      <w:r>
        <w:rPr>
          <w:sz w:val="24"/>
        </w:rPr>
        <w:t>and cleaned</w:t>
      </w:r>
      <w:r>
        <w:rPr>
          <w:spacing w:val="-1"/>
          <w:sz w:val="24"/>
        </w:rPr>
        <w:t> </w:t>
      </w:r>
      <w:r>
        <w:rPr>
          <w:sz w:val="24"/>
        </w:rPr>
        <w:t>immediately.</w:t>
      </w:r>
    </w:p>
    <w:p>
      <w:pPr>
        <w:pStyle w:val="BodyText"/>
        <w:spacing w:before="10"/>
        <w:rPr>
          <w:sz w:val="20"/>
        </w:rPr>
      </w:pPr>
    </w:p>
    <w:p>
      <w:pPr>
        <w:pStyle w:val="ListParagraph"/>
        <w:numPr>
          <w:ilvl w:val="3"/>
          <w:numId w:val="4"/>
        </w:numPr>
        <w:tabs>
          <w:tab w:pos="1359" w:val="left" w:leader="none"/>
        </w:tabs>
        <w:spacing w:line="240" w:lineRule="auto" w:before="0" w:after="0"/>
        <w:ind w:left="1360" w:right="1305" w:hanging="1080"/>
        <w:jc w:val="left"/>
        <w:rPr>
          <w:sz w:val="24"/>
        </w:rPr>
      </w:pPr>
      <w:r>
        <w:rPr>
          <w:sz w:val="24"/>
        </w:rPr>
        <w:t>This Order does not exempt the Discharger from compliance with any other laws, regulations, or ordinances that may be</w:t>
      </w:r>
      <w:r>
        <w:rPr>
          <w:spacing w:val="-8"/>
          <w:sz w:val="24"/>
        </w:rPr>
        <w:t> </w:t>
      </w:r>
      <w:r>
        <w:rPr>
          <w:sz w:val="24"/>
        </w:rPr>
        <w:t>applicable.</w:t>
      </w:r>
    </w:p>
    <w:p>
      <w:pPr>
        <w:spacing w:after="0" w:line="240" w:lineRule="auto"/>
        <w:jc w:val="left"/>
        <w:rPr>
          <w:sz w:val="24"/>
        </w:rPr>
        <w:sectPr>
          <w:pgSz w:w="12240" w:h="15840"/>
          <w:pgMar w:header="728" w:footer="788" w:top="1540" w:bottom="980" w:left="1160" w:right="420"/>
        </w:sectPr>
      </w:pPr>
    </w:p>
    <w:p>
      <w:pPr>
        <w:pStyle w:val="BodyText"/>
        <w:spacing w:before="11"/>
        <w:rPr>
          <w:sz w:val="15"/>
        </w:rPr>
      </w:pPr>
    </w:p>
    <w:p>
      <w:pPr>
        <w:pStyle w:val="ListParagraph"/>
        <w:numPr>
          <w:ilvl w:val="3"/>
          <w:numId w:val="4"/>
        </w:numPr>
        <w:tabs>
          <w:tab w:pos="1359" w:val="left" w:leader="none"/>
        </w:tabs>
        <w:spacing w:line="240" w:lineRule="auto" w:before="92" w:after="0"/>
        <w:ind w:left="1360" w:right="1414" w:hanging="1080"/>
        <w:jc w:val="left"/>
        <w:rPr>
          <w:sz w:val="24"/>
        </w:rPr>
      </w:pPr>
      <w:r>
        <w:rPr>
          <w:sz w:val="24"/>
        </w:rPr>
        <w:t>The site shall be protected to reduce infrastructure vulnerability to extreme wet weather events, flooding, storm surges, and projected sea level rise resulting from current and future impacts associated with climate</w:t>
      </w:r>
      <w:r>
        <w:rPr>
          <w:spacing w:val="-35"/>
          <w:sz w:val="24"/>
        </w:rPr>
        <w:t> </w:t>
      </w:r>
      <w:r>
        <w:rPr>
          <w:sz w:val="24"/>
        </w:rPr>
        <w:t>change.</w:t>
      </w:r>
    </w:p>
    <w:p>
      <w:pPr>
        <w:pStyle w:val="BodyText"/>
        <w:spacing w:before="10"/>
        <w:rPr>
          <w:sz w:val="20"/>
        </w:rPr>
      </w:pPr>
    </w:p>
    <w:p>
      <w:pPr>
        <w:pStyle w:val="ListParagraph"/>
        <w:numPr>
          <w:ilvl w:val="3"/>
          <w:numId w:val="4"/>
        </w:numPr>
        <w:tabs>
          <w:tab w:pos="1360" w:val="left" w:leader="none"/>
        </w:tabs>
        <w:spacing w:line="240" w:lineRule="auto" w:before="0" w:after="0"/>
        <w:ind w:left="1360" w:right="1402" w:hanging="1080"/>
        <w:jc w:val="left"/>
        <w:rPr>
          <w:sz w:val="24"/>
        </w:rPr>
      </w:pPr>
      <w:r>
        <w:rPr>
          <w:sz w:val="24"/>
        </w:rPr>
        <w:t>The</w:t>
      </w:r>
      <w:r>
        <w:rPr>
          <w:spacing w:val="-5"/>
          <w:sz w:val="24"/>
        </w:rPr>
        <w:t> </w:t>
      </w:r>
      <w:r>
        <w:rPr>
          <w:sz w:val="24"/>
        </w:rPr>
        <w:t>Discharger</w:t>
      </w:r>
      <w:r>
        <w:rPr>
          <w:spacing w:val="-5"/>
          <w:sz w:val="24"/>
        </w:rPr>
        <w:t> </w:t>
      </w:r>
      <w:r>
        <w:rPr>
          <w:sz w:val="24"/>
        </w:rPr>
        <w:t>shall</w:t>
      </w:r>
      <w:r>
        <w:rPr>
          <w:spacing w:val="-5"/>
          <w:sz w:val="24"/>
        </w:rPr>
        <w:t> </w:t>
      </w:r>
      <w:r>
        <w:rPr>
          <w:sz w:val="24"/>
        </w:rPr>
        <w:t>at</w:t>
      </w:r>
      <w:r>
        <w:rPr>
          <w:spacing w:val="-4"/>
          <w:sz w:val="24"/>
        </w:rPr>
        <w:t> </w:t>
      </w:r>
      <w:r>
        <w:rPr>
          <w:sz w:val="24"/>
        </w:rPr>
        <w:t>all</w:t>
      </w:r>
      <w:r>
        <w:rPr>
          <w:spacing w:val="-5"/>
          <w:sz w:val="24"/>
        </w:rPr>
        <w:t> </w:t>
      </w:r>
      <w:r>
        <w:rPr>
          <w:sz w:val="24"/>
        </w:rPr>
        <w:t>times</w:t>
      </w:r>
      <w:r>
        <w:rPr>
          <w:spacing w:val="-4"/>
          <w:sz w:val="24"/>
        </w:rPr>
        <w:t> </w:t>
      </w:r>
      <w:r>
        <w:rPr>
          <w:sz w:val="24"/>
        </w:rPr>
        <w:t>properly</w:t>
      </w:r>
      <w:r>
        <w:rPr>
          <w:spacing w:val="-5"/>
          <w:sz w:val="24"/>
        </w:rPr>
        <w:t> </w:t>
      </w:r>
      <w:r>
        <w:rPr>
          <w:sz w:val="24"/>
        </w:rPr>
        <w:t>operate</w:t>
      </w:r>
      <w:r>
        <w:rPr>
          <w:spacing w:val="-4"/>
          <w:sz w:val="24"/>
        </w:rPr>
        <w:t> </w:t>
      </w:r>
      <w:r>
        <w:rPr>
          <w:sz w:val="24"/>
        </w:rPr>
        <w:t>and</w:t>
      </w:r>
      <w:r>
        <w:rPr>
          <w:spacing w:val="-5"/>
          <w:sz w:val="24"/>
        </w:rPr>
        <w:t> </w:t>
      </w:r>
      <w:r>
        <w:rPr>
          <w:sz w:val="24"/>
        </w:rPr>
        <w:t>maintain</w:t>
      </w:r>
      <w:r>
        <w:rPr>
          <w:spacing w:val="-5"/>
          <w:sz w:val="24"/>
        </w:rPr>
        <w:t> </w:t>
      </w:r>
      <w:r>
        <w:rPr>
          <w:sz w:val="24"/>
        </w:rPr>
        <w:t>all</w:t>
      </w:r>
      <w:r>
        <w:rPr>
          <w:spacing w:val="-4"/>
          <w:sz w:val="24"/>
        </w:rPr>
        <w:t> </w:t>
      </w:r>
      <w:r>
        <w:rPr>
          <w:sz w:val="24"/>
        </w:rPr>
        <w:t>facilities and systems installed or used to achieve compliance with this</w:t>
      </w:r>
      <w:r>
        <w:rPr>
          <w:spacing w:val="-17"/>
          <w:sz w:val="24"/>
        </w:rPr>
        <w:t> </w:t>
      </w:r>
      <w:r>
        <w:rPr>
          <w:sz w:val="24"/>
        </w:rPr>
        <w:t>Order.</w:t>
      </w:r>
    </w:p>
    <w:p>
      <w:pPr>
        <w:pStyle w:val="BodyText"/>
        <w:spacing w:before="10"/>
        <w:rPr>
          <w:sz w:val="20"/>
        </w:rPr>
      </w:pPr>
    </w:p>
    <w:p>
      <w:pPr>
        <w:pStyle w:val="ListParagraph"/>
        <w:numPr>
          <w:ilvl w:val="3"/>
          <w:numId w:val="4"/>
        </w:numPr>
        <w:tabs>
          <w:tab w:pos="1360" w:val="left" w:leader="none"/>
        </w:tabs>
        <w:spacing w:line="240" w:lineRule="auto" w:before="0" w:after="0"/>
        <w:ind w:left="1360" w:right="1251" w:hanging="1080"/>
        <w:jc w:val="left"/>
        <w:rPr>
          <w:sz w:val="24"/>
        </w:rPr>
      </w:pPr>
      <w:r>
        <w:rPr>
          <w:sz w:val="24"/>
        </w:rPr>
        <w:t>The Discharger may request that any discharge authorized under this Order is, instead, covered under an individual NPDES permit by submitting an application for an individual NPDES permit for the discharge to the Los Angeles Water</w:t>
      </w:r>
      <w:r>
        <w:rPr>
          <w:spacing w:val="-1"/>
          <w:sz w:val="24"/>
        </w:rPr>
        <w:t> </w:t>
      </w:r>
      <w:r>
        <w:rPr>
          <w:sz w:val="24"/>
        </w:rPr>
        <w:t>Board.</w:t>
      </w:r>
    </w:p>
    <w:p>
      <w:pPr>
        <w:pStyle w:val="BodyText"/>
        <w:spacing w:before="10"/>
        <w:rPr>
          <w:sz w:val="20"/>
        </w:rPr>
      </w:pPr>
    </w:p>
    <w:p>
      <w:pPr>
        <w:pStyle w:val="ListParagraph"/>
        <w:numPr>
          <w:ilvl w:val="3"/>
          <w:numId w:val="4"/>
        </w:numPr>
        <w:tabs>
          <w:tab w:pos="1360" w:val="left" w:leader="none"/>
        </w:tabs>
        <w:spacing w:line="240" w:lineRule="auto" w:before="1" w:after="0"/>
        <w:ind w:left="1360" w:right="1282" w:hanging="1080"/>
        <w:jc w:val="left"/>
        <w:rPr>
          <w:sz w:val="24"/>
        </w:rPr>
      </w:pPr>
      <w:r>
        <w:rPr>
          <w:sz w:val="24"/>
        </w:rPr>
        <w:t>Failure to comply with provisions or requirements of this Order, may subject the Discharger to administrative or civil liabilities, criminal penalties, and/or other enforcement remedies to ensure compliance. Additionally, certain violations may subject the Discharger to civil or criminal enforcement from appropriate local, state, or federal law enforcement</w:t>
      </w:r>
      <w:r>
        <w:rPr>
          <w:spacing w:val="-6"/>
          <w:sz w:val="24"/>
        </w:rPr>
        <w:t> </w:t>
      </w:r>
      <w:r>
        <w:rPr>
          <w:sz w:val="24"/>
        </w:rPr>
        <w:t>entities.</w:t>
      </w:r>
    </w:p>
    <w:p>
      <w:pPr>
        <w:pStyle w:val="BodyText"/>
        <w:spacing w:before="9"/>
        <w:rPr>
          <w:sz w:val="20"/>
        </w:rPr>
      </w:pPr>
    </w:p>
    <w:p>
      <w:pPr>
        <w:pStyle w:val="Heading1"/>
        <w:numPr>
          <w:ilvl w:val="1"/>
          <w:numId w:val="13"/>
        </w:numPr>
        <w:tabs>
          <w:tab w:pos="871" w:val="left" w:leader="none"/>
        </w:tabs>
        <w:spacing w:line="240" w:lineRule="auto" w:before="1" w:after="0"/>
        <w:ind w:left="870" w:right="0" w:hanging="591"/>
        <w:jc w:val="left"/>
      </w:pPr>
      <w:bookmarkStart w:name="_TOC_250013" w:id="39"/>
      <w:bookmarkEnd w:id="39"/>
      <w:r>
        <w:rPr/>
        <w:t>Enforcement.</w:t>
      </w:r>
    </w:p>
    <w:p>
      <w:pPr>
        <w:pStyle w:val="BodyText"/>
        <w:spacing w:before="9"/>
        <w:rPr>
          <w:b/>
          <w:sz w:val="20"/>
        </w:rPr>
      </w:pPr>
    </w:p>
    <w:p>
      <w:pPr>
        <w:pStyle w:val="ListParagraph"/>
        <w:numPr>
          <w:ilvl w:val="2"/>
          <w:numId w:val="13"/>
        </w:numPr>
        <w:tabs>
          <w:tab w:pos="1100" w:val="left" w:leader="none"/>
        </w:tabs>
        <w:spacing w:line="240" w:lineRule="auto" w:before="1" w:after="0"/>
        <w:ind w:left="1100" w:right="1019" w:hanging="821"/>
        <w:jc w:val="left"/>
        <w:rPr>
          <w:sz w:val="24"/>
        </w:rPr>
      </w:pPr>
      <w:r>
        <w:rPr>
          <w:sz w:val="24"/>
        </w:rPr>
        <w:t>Violation of any of the provisions of this Order may subject the Discharger to any of the penalties described herein at the discretion of the prosecuting</w:t>
      </w:r>
      <w:r>
        <w:rPr>
          <w:spacing w:val="-39"/>
          <w:sz w:val="24"/>
        </w:rPr>
        <w:t> </w:t>
      </w:r>
      <w:r>
        <w:rPr>
          <w:sz w:val="24"/>
        </w:rPr>
        <w:t>authority.</w:t>
      </w:r>
    </w:p>
    <w:p>
      <w:pPr>
        <w:pStyle w:val="BodyText"/>
        <w:spacing w:before="10"/>
        <w:rPr>
          <w:sz w:val="20"/>
        </w:rPr>
      </w:pPr>
    </w:p>
    <w:p>
      <w:pPr>
        <w:pStyle w:val="ListParagraph"/>
        <w:numPr>
          <w:ilvl w:val="2"/>
          <w:numId w:val="13"/>
        </w:numPr>
        <w:tabs>
          <w:tab w:pos="1100" w:val="left" w:leader="none"/>
        </w:tabs>
        <w:spacing w:line="240" w:lineRule="auto" w:before="0" w:after="0"/>
        <w:ind w:left="1100" w:right="1141" w:hanging="821"/>
        <w:jc w:val="left"/>
        <w:rPr>
          <w:sz w:val="24"/>
        </w:rPr>
      </w:pPr>
      <w:r>
        <w:rPr>
          <w:sz w:val="24"/>
        </w:rPr>
        <w:t>Failure to comply with provisions or requirements of this Order, may subject the Discharger to administrative or judicial civil liabilities, criminal penalties, and/or other enforcement remedies to ensure compliance. Additionally, certain violations may subject the Discharger to civil or criminal enforcement from appropriate local, state, or federal law enforcement</w:t>
      </w:r>
      <w:r>
        <w:rPr>
          <w:spacing w:val="-7"/>
          <w:sz w:val="24"/>
        </w:rPr>
        <w:t> </w:t>
      </w:r>
      <w:r>
        <w:rPr>
          <w:sz w:val="24"/>
        </w:rPr>
        <w:t>entities.</w:t>
      </w:r>
    </w:p>
    <w:p>
      <w:pPr>
        <w:pStyle w:val="BodyText"/>
        <w:spacing w:before="9"/>
        <w:rPr>
          <w:sz w:val="20"/>
        </w:rPr>
      </w:pPr>
    </w:p>
    <w:p>
      <w:pPr>
        <w:pStyle w:val="ListParagraph"/>
        <w:numPr>
          <w:ilvl w:val="2"/>
          <w:numId w:val="13"/>
        </w:numPr>
        <w:tabs>
          <w:tab w:pos="1101" w:val="left" w:leader="none"/>
        </w:tabs>
        <w:spacing w:line="240" w:lineRule="auto" w:before="0" w:after="0"/>
        <w:ind w:left="1100" w:right="1018" w:hanging="821"/>
        <w:jc w:val="left"/>
        <w:rPr>
          <w:sz w:val="24"/>
        </w:rPr>
      </w:pPr>
      <w:r>
        <w:rPr>
          <w:sz w:val="24"/>
        </w:rPr>
        <w:t>Section 13385(h)(1) of the CWC requires the Los Angeles Water Board to assess a mandatory minimum penalty of three thousand dollars ($3,000) for each serious violation. Pursuant to CWC section 13385(h)(2), a “serious violation” is defined as any waste discharge that violates the effluent limitations contained in the applicable WDRs for a Group II pollutant by 20 percent or more, or for a Group I pollutant by 40 percent or more. Appendix A of 40 CFR</w:t>
      </w:r>
      <w:r>
        <w:rPr>
          <w:spacing w:val="-35"/>
          <w:sz w:val="24"/>
        </w:rPr>
        <w:t> </w:t>
      </w:r>
      <w:r>
        <w:rPr>
          <w:sz w:val="24"/>
        </w:rPr>
        <w:t>section</w:t>
      </w:r>
    </w:p>
    <w:p>
      <w:pPr>
        <w:pStyle w:val="BodyText"/>
        <w:ind w:left="1100" w:right="1002"/>
      </w:pPr>
      <w:r>
        <w:rPr/>
        <w:t>123.45 specifies the Group I and II pollutants. Pursuant to CWC section 13385.1(a)(1), a “serious violation” is also defined as “a failure to file a discharge monitoring report required pursuant to CWC section 13383 for each complete period of 30 days following the deadline for submitting the report, if the report is designed to ensure compliance with limitations contained in WDRs that contain effluent limitations.”</w:t>
      </w:r>
    </w:p>
    <w:p>
      <w:pPr>
        <w:pStyle w:val="BodyText"/>
        <w:spacing w:before="10"/>
        <w:rPr>
          <w:sz w:val="20"/>
        </w:rPr>
      </w:pPr>
    </w:p>
    <w:p>
      <w:pPr>
        <w:pStyle w:val="ListParagraph"/>
        <w:numPr>
          <w:ilvl w:val="2"/>
          <w:numId w:val="13"/>
        </w:numPr>
        <w:tabs>
          <w:tab w:pos="1101" w:val="left" w:leader="none"/>
        </w:tabs>
        <w:spacing w:line="240" w:lineRule="auto" w:before="0" w:after="0"/>
        <w:ind w:left="1100" w:right="1083" w:hanging="821"/>
        <w:jc w:val="left"/>
        <w:rPr>
          <w:sz w:val="24"/>
        </w:rPr>
      </w:pPr>
      <w:r>
        <w:rPr>
          <w:sz w:val="24"/>
        </w:rPr>
        <w:t>Section 13385(i) of the CWC requires the Los Angeles Water Board to assess a mandatory minimum penalty of three thousand dollars ($3,000) for each violation whenever a person violates a WDR effluent limitation in any period of six consecutive months, except that the requirement to assess the</w:t>
      </w:r>
      <w:r>
        <w:rPr>
          <w:spacing w:val="-35"/>
          <w:sz w:val="24"/>
        </w:rPr>
        <w:t> </w:t>
      </w:r>
      <w:r>
        <w:rPr>
          <w:sz w:val="24"/>
        </w:rPr>
        <w:t>mandatory</w:t>
      </w:r>
    </w:p>
    <w:p>
      <w:pPr>
        <w:spacing w:after="0" w:line="240" w:lineRule="auto"/>
        <w:jc w:val="left"/>
        <w:rPr>
          <w:sz w:val="24"/>
        </w:rPr>
        <w:sectPr>
          <w:pgSz w:w="12240" w:h="15840"/>
          <w:pgMar w:header="728" w:footer="788" w:top="1540" w:bottom="980" w:left="1160" w:right="420"/>
        </w:sectPr>
      </w:pPr>
    </w:p>
    <w:p>
      <w:pPr>
        <w:pStyle w:val="BodyText"/>
        <w:spacing w:before="11"/>
        <w:rPr>
          <w:sz w:val="15"/>
        </w:rPr>
      </w:pPr>
    </w:p>
    <w:p>
      <w:pPr>
        <w:pStyle w:val="BodyText"/>
        <w:spacing w:before="92"/>
        <w:ind w:left="1100" w:right="1335"/>
      </w:pPr>
      <w:r>
        <w:rPr/>
        <w:t>minimum penalty shall not be applicable to the first three violations within that time period.</w:t>
      </w:r>
    </w:p>
    <w:p>
      <w:pPr>
        <w:pStyle w:val="BodyText"/>
        <w:spacing w:before="10"/>
        <w:rPr>
          <w:sz w:val="20"/>
        </w:rPr>
      </w:pPr>
    </w:p>
    <w:p>
      <w:pPr>
        <w:pStyle w:val="ListParagraph"/>
        <w:numPr>
          <w:ilvl w:val="2"/>
          <w:numId w:val="13"/>
        </w:numPr>
        <w:tabs>
          <w:tab w:pos="1100" w:val="left" w:leader="none"/>
        </w:tabs>
        <w:spacing w:line="240" w:lineRule="auto" w:before="0" w:after="0"/>
        <w:ind w:left="1100" w:right="1272" w:hanging="821"/>
        <w:jc w:val="left"/>
        <w:rPr>
          <w:sz w:val="24"/>
        </w:rPr>
      </w:pPr>
      <w:r>
        <w:rPr>
          <w:sz w:val="24"/>
        </w:rPr>
        <w:t>Pursuant to CWC section 13385.1(d), for the purposes of section 13385.1 and subdivisions (h), (i), and (j) of section 13385, “effluent limitation” means a numeric restriction or a numerically expressed narrative restriction on the quantity, discharge rate, concentration, or toxicity units of a pollutant or pollutants that may be discharged from an authorized location. An effluent limitation may be final or interim and may be expressed as a prohibition. An effluent limitation, for these purposes, does not include a receiving water limitation, a compliance schedule, or a</w:t>
      </w:r>
      <w:r>
        <w:rPr>
          <w:spacing w:val="-2"/>
          <w:sz w:val="24"/>
        </w:rPr>
        <w:t> </w:t>
      </w:r>
      <w:r>
        <w:rPr>
          <w:sz w:val="24"/>
        </w:rPr>
        <w:t>BMP.</w:t>
      </w:r>
    </w:p>
    <w:p>
      <w:pPr>
        <w:pStyle w:val="BodyText"/>
        <w:spacing w:before="10"/>
        <w:rPr>
          <w:sz w:val="20"/>
        </w:rPr>
      </w:pPr>
    </w:p>
    <w:p>
      <w:pPr>
        <w:pStyle w:val="Heading1"/>
        <w:numPr>
          <w:ilvl w:val="2"/>
          <w:numId w:val="13"/>
        </w:numPr>
        <w:tabs>
          <w:tab w:pos="1101" w:val="left" w:leader="none"/>
        </w:tabs>
        <w:spacing w:line="240" w:lineRule="auto" w:before="1" w:after="0"/>
        <w:ind w:left="1100" w:right="0" w:hanging="822"/>
        <w:jc w:val="left"/>
      </w:pPr>
      <w:bookmarkStart w:name="_TOC_250012" w:id="40"/>
      <w:r>
        <w:rPr/>
        <w:t>Corrective</w:t>
      </w:r>
      <w:r>
        <w:rPr>
          <w:spacing w:val="-1"/>
        </w:rPr>
        <w:t> </w:t>
      </w:r>
      <w:bookmarkEnd w:id="40"/>
      <w:r>
        <w:rPr/>
        <w:t>Actions.</w:t>
      </w:r>
    </w:p>
    <w:p>
      <w:pPr>
        <w:pStyle w:val="BodyText"/>
        <w:spacing w:before="11"/>
        <w:rPr>
          <w:b/>
          <w:sz w:val="23"/>
        </w:rPr>
      </w:pPr>
    </w:p>
    <w:p>
      <w:pPr>
        <w:pStyle w:val="BodyText"/>
        <w:ind w:left="1100" w:right="1028"/>
      </w:pPr>
      <w:r>
        <w:rPr/>
        <w:t>If there is an exceedance, or presumed exceedance, of an effluent limitation listed in section 7 of this Order, the Discharger shall perform the following actions: (1) initiate an investigation for the cause of the exceedance, (2) implement appropriate BMPs to reduce the pollutant concentration below the applicable limitation, and (3) evaluate the appropriateness of using alternative or additional BMPs. These corrective actions do not absolve the Discharger of liability for any violation of this General Permit related to the exceedance.</w:t>
      </w:r>
    </w:p>
    <w:p>
      <w:pPr>
        <w:pStyle w:val="BodyText"/>
        <w:ind w:left="1100" w:right="1803"/>
      </w:pPr>
      <w:r>
        <w:rPr/>
        <w:t>However, failure to comply with these corrective actions will constitute an additional violation of this General Permit.</w:t>
      </w:r>
    </w:p>
    <w:p>
      <w:pPr>
        <w:pStyle w:val="BodyText"/>
        <w:spacing w:before="10"/>
        <w:rPr>
          <w:sz w:val="20"/>
        </w:rPr>
      </w:pPr>
    </w:p>
    <w:p>
      <w:pPr>
        <w:pStyle w:val="Heading1"/>
        <w:numPr>
          <w:ilvl w:val="1"/>
          <w:numId w:val="13"/>
        </w:numPr>
        <w:tabs>
          <w:tab w:pos="871" w:val="left" w:leader="none"/>
        </w:tabs>
        <w:spacing w:line="240" w:lineRule="auto" w:before="0" w:after="0"/>
        <w:ind w:left="870" w:right="0" w:hanging="592"/>
        <w:jc w:val="left"/>
      </w:pPr>
      <w:bookmarkStart w:name="_TOC_250011" w:id="41"/>
      <w:bookmarkEnd w:id="41"/>
      <w:r>
        <w:rPr/>
        <w:t>Special Provisions.</w:t>
      </w:r>
    </w:p>
    <w:p>
      <w:pPr>
        <w:pStyle w:val="BodyText"/>
        <w:spacing w:before="9"/>
        <w:rPr>
          <w:b/>
          <w:sz w:val="20"/>
        </w:rPr>
      </w:pPr>
    </w:p>
    <w:p>
      <w:pPr>
        <w:pStyle w:val="Heading1"/>
        <w:numPr>
          <w:ilvl w:val="2"/>
          <w:numId w:val="13"/>
        </w:numPr>
        <w:tabs>
          <w:tab w:pos="1101" w:val="left" w:leader="none"/>
        </w:tabs>
        <w:spacing w:line="240" w:lineRule="auto" w:before="0" w:after="0"/>
        <w:ind w:left="1100" w:right="0" w:hanging="822"/>
        <w:jc w:val="left"/>
      </w:pPr>
      <w:bookmarkStart w:name="_TOC_250010" w:id="42"/>
      <w:r>
        <w:rPr/>
        <w:t>Reopener</w:t>
      </w:r>
      <w:r>
        <w:rPr>
          <w:spacing w:val="-1"/>
        </w:rPr>
        <w:t> </w:t>
      </w:r>
      <w:bookmarkEnd w:id="42"/>
      <w:r>
        <w:rPr/>
        <w:t>Provisions.</w:t>
      </w:r>
    </w:p>
    <w:p>
      <w:pPr>
        <w:pStyle w:val="BodyText"/>
        <w:rPr>
          <w:b/>
        </w:rPr>
      </w:pPr>
    </w:p>
    <w:p>
      <w:pPr>
        <w:pStyle w:val="BodyText"/>
        <w:ind w:left="1100" w:right="1015"/>
      </w:pPr>
      <w:r>
        <w:rPr/>
        <w:t>Pursuant to 40 CFR sections 122.62 and 122.63, this Order may be modified, revoked and reissued, or terminated for cause. Reasons for modification may include new information on the impact of discharges regulated under this Order becomes available, promulgation of new effluent standards and/or regulations, adoption of new policies and/or water quality objectives, and/or new judicial decisions affecting requirements of this Order. In addition, if receiving water quality is threatened due to discharges covered under this permit, this permit will be reopened to incorporate more stringent effluent limitations or discharge prohibitions to address the threat. TMDLs have not been developed for all the parameters and receiving waters on the CWA section 303(d) list. When TMDLs are adopted or revised, this permit may be reopened to incorporate appropriate pollutant limits consistent with the assumptions and requirements of applicable wasteload allocations in the TMDL.</w:t>
      </w:r>
    </w:p>
    <w:p>
      <w:pPr>
        <w:pStyle w:val="BodyText"/>
        <w:spacing w:before="10"/>
        <w:rPr>
          <w:sz w:val="20"/>
        </w:rPr>
      </w:pPr>
    </w:p>
    <w:p>
      <w:pPr>
        <w:pStyle w:val="Heading1"/>
        <w:numPr>
          <w:ilvl w:val="1"/>
          <w:numId w:val="13"/>
        </w:numPr>
        <w:tabs>
          <w:tab w:pos="871" w:val="left" w:leader="none"/>
        </w:tabs>
        <w:spacing w:line="240" w:lineRule="auto" w:before="1" w:after="0"/>
        <w:ind w:left="870" w:right="0" w:hanging="592"/>
        <w:jc w:val="left"/>
      </w:pPr>
      <w:bookmarkStart w:name="_TOC_250009" w:id="43"/>
      <w:r>
        <w:rPr/>
        <w:t>Electronic Signature and Certification</w:t>
      </w:r>
      <w:r>
        <w:rPr>
          <w:spacing w:val="-3"/>
        </w:rPr>
        <w:t> </w:t>
      </w:r>
      <w:bookmarkEnd w:id="43"/>
      <w:r>
        <w:rPr/>
        <w:t>Requirements.</w:t>
      </w:r>
    </w:p>
    <w:p>
      <w:pPr>
        <w:pStyle w:val="BodyText"/>
        <w:spacing w:before="9"/>
        <w:rPr>
          <w:b/>
          <w:sz w:val="20"/>
        </w:rPr>
      </w:pPr>
    </w:p>
    <w:p>
      <w:pPr>
        <w:pStyle w:val="ListParagraph"/>
        <w:numPr>
          <w:ilvl w:val="2"/>
          <w:numId w:val="13"/>
        </w:numPr>
        <w:tabs>
          <w:tab w:pos="1100" w:val="left" w:leader="none"/>
        </w:tabs>
        <w:spacing w:line="240" w:lineRule="auto" w:before="1" w:after="0"/>
        <w:ind w:left="1100" w:right="1047" w:hanging="821"/>
        <w:jc w:val="left"/>
        <w:rPr>
          <w:sz w:val="24"/>
        </w:rPr>
      </w:pPr>
      <w:r>
        <w:rPr>
          <w:sz w:val="24"/>
        </w:rPr>
        <w:t>The NOI and all Permit Registration Documents for coverage shall be certified and</w:t>
      </w:r>
      <w:r>
        <w:rPr>
          <w:spacing w:val="-6"/>
          <w:sz w:val="24"/>
        </w:rPr>
        <w:t> </w:t>
      </w:r>
      <w:r>
        <w:rPr>
          <w:sz w:val="24"/>
        </w:rPr>
        <w:t>submitted</w:t>
      </w:r>
      <w:r>
        <w:rPr>
          <w:spacing w:val="-5"/>
          <w:sz w:val="24"/>
        </w:rPr>
        <w:t> </w:t>
      </w:r>
      <w:r>
        <w:rPr>
          <w:sz w:val="24"/>
        </w:rPr>
        <w:t>via</w:t>
      </w:r>
      <w:r>
        <w:rPr>
          <w:spacing w:val="-5"/>
          <w:sz w:val="24"/>
        </w:rPr>
        <w:t> </w:t>
      </w:r>
      <w:r>
        <w:rPr>
          <w:sz w:val="24"/>
        </w:rPr>
        <w:t>SMARTS</w:t>
      </w:r>
      <w:r>
        <w:rPr>
          <w:spacing w:val="-5"/>
          <w:sz w:val="24"/>
        </w:rPr>
        <w:t> </w:t>
      </w:r>
      <w:r>
        <w:rPr>
          <w:sz w:val="24"/>
        </w:rPr>
        <w:t>by</w:t>
      </w:r>
      <w:r>
        <w:rPr>
          <w:spacing w:val="-5"/>
          <w:sz w:val="24"/>
        </w:rPr>
        <w:t> </w:t>
      </w:r>
      <w:r>
        <w:rPr>
          <w:sz w:val="24"/>
        </w:rPr>
        <w:t>the</w:t>
      </w:r>
      <w:r>
        <w:rPr>
          <w:spacing w:val="-5"/>
          <w:sz w:val="24"/>
        </w:rPr>
        <w:t> </w:t>
      </w:r>
      <w:r>
        <w:rPr>
          <w:sz w:val="24"/>
        </w:rPr>
        <w:t>Discharger’s</w:t>
      </w:r>
      <w:r>
        <w:rPr>
          <w:spacing w:val="-5"/>
          <w:sz w:val="24"/>
        </w:rPr>
        <w:t> </w:t>
      </w:r>
      <w:r>
        <w:rPr>
          <w:sz w:val="24"/>
        </w:rPr>
        <w:t>Legally</w:t>
      </w:r>
      <w:r>
        <w:rPr>
          <w:spacing w:val="-4"/>
          <w:sz w:val="24"/>
        </w:rPr>
        <w:t> </w:t>
      </w:r>
      <w:r>
        <w:rPr>
          <w:sz w:val="24"/>
        </w:rPr>
        <w:t>Responsible</w:t>
      </w:r>
      <w:r>
        <w:rPr>
          <w:spacing w:val="-5"/>
          <w:sz w:val="24"/>
        </w:rPr>
        <w:t> </w:t>
      </w:r>
      <w:r>
        <w:rPr>
          <w:sz w:val="24"/>
        </w:rPr>
        <w:t>Person.</w:t>
      </w:r>
      <w:r>
        <w:rPr>
          <w:spacing w:val="-5"/>
          <w:sz w:val="24"/>
        </w:rPr>
        <w:t> </w:t>
      </w:r>
      <w:r>
        <w:rPr>
          <w:sz w:val="24"/>
        </w:rPr>
        <w:t>All</w:t>
      </w:r>
    </w:p>
    <w:p>
      <w:pPr>
        <w:spacing w:after="0" w:line="240" w:lineRule="auto"/>
        <w:jc w:val="left"/>
        <w:rPr>
          <w:sz w:val="24"/>
        </w:rPr>
        <w:sectPr>
          <w:pgSz w:w="12240" w:h="15840"/>
          <w:pgMar w:header="728" w:footer="788" w:top="1540" w:bottom="980" w:left="1160" w:right="420"/>
        </w:sectPr>
      </w:pPr>
    </w:p>
    <w:p>
      <w:pPr>
        <w:pStyle w:val="BodyText"/>
        <w:spacing w:before="11"/>
        <w:rPr>
          <w:sz w:val="15"/>
        </w:rPr>
      </w:pPr>
    </w:p>
    <w:p>
      <w:pPr>
        <w:pStyle w:val="BodyText"/>
        <w:spacing w:before="92"/>
        <w:ind w:left="1100" w:right="1308"/>
      </w:pPr>
      <w:r>
        <w:rPr/>
        <w:t>other reports, including those in sections 3 and 4 of Attachment E, may be certified and submitted via SMARTS by the Legally Responsible Person or by their designated Duly Authorized Representative. (Attachment D, Section 5.2)</w:t>
      </w:r>
    </w:p>
    <w:p>
      <w:pPr>
        <w:pStyle w:val="BodyText"/>
        <w:spacing w:before="10"/>
        <w:rPr>
          <w:sz w:val="20"/>
        </w:rPr>
      </w:pPr>
    </w:p>
    <w:p>
      <w:pPr>
        <w:pStyle w:val="ListParagraph"/>
        <w:numPr>
          <w:ilvl w:val="2"/>
          <w:numId w:val="13"/>
        </w:numPr>
        <w:tabs>
          <w:tab w:pos="1100" w:val="left" w:leader="none"/>
        </w:tabs>
        <w:spacing w:line="240" w:lineRule="auto" w:before="0" w:after="0"/>
        <w:ind w:left="1100" w:right="1085" w:hanging="821"/>
        <w:jc w:val="left"/>
        <w:rPr>
          <w:sz w:val="24"/>
        </w:rPr>
      </w:pPr>
      <w:r>
        <w:rPr>
          <w:sz w:val="24"/>
        </w:rPr>
        <w:t>When a new Legally Responsible Person or Duly Authorized Representative is designated, the Discharger shall ensure that the appropriate revisions are made via</w:t>
      </w:r>
      <w:r>
        <w:rPr>
          <w:spacing w:val="-1"/>
          <w:sz w:val="24"/>
        </w:rPr>
        <w:t> </w:t>
      </w:r>
      <w:r>
        <w:rPr>
          <w:sz w:val="24"/>
        </w:rPr>
        <w:t>SMARTS.</w:t>
      </w:r>
    </w:p>
    <w:p>
      <w:pPr>
        <w:pStyle w:val="BodyText"/>
        <w:spacing w:before="10"/>
        <w:rPr>
          <w:sz w:val="20"/>
        </w:rPr>
      </w:pPr>
    </w:p>
    <w:p>
      <w:pPr>
        <w:pStyle w:val="ListParagraph"/>
        <w:numPr>
          <w:ilvl w:val="2"/>
          <w:numId w:val="13"/>
        </w:numPr>
        <w:tabs>
          <w:tab w:pos="1100" w:val="left" w:leader="none"/>
        </w:tabs>
        <w:spacing w:line="240" w:lineRule="auto" w:before="0" w:after="0"/>
        <w:ind w:left="1100" w:right="1036" w:hanging="821"/>
        <w:jc w:val="left"/>
        <w:rPr>
          <w:sz w:val="24"/>
        </w:rPr>
      </w:pPr>
      <w:r>
        <w:rPr>
          <w:sz w:val="24"/>
        </w:rPr>
        <w:t>Documents</w:t>
      </w:r>
      <w:r>
        <w:rPr>
          <w:spacing w:val="-6"/>
          <w:sz w:val="24"/>
        </w:rPr>
        <w:t> </w:t>
      </w:r>
      <w:r>
        <w:rPr>
          <w:sz w:val="24"/>
        </w:rPr>
        <w:t>certified</w:t>
      </w:r>
      <w:r>
        <w:rPr>
          <w:spacing w:val="-4"/>
          <w:sz w:val="24"/>
        </w:rPr>
        <w:t> </w:t>
      </w:r>
      <w:r>
        <w:rPr>
          <w:sz w:val="24"/>
        </w:rPr>
        <w:t>and</w:t>
      </w:r>
      <w:r>
        <w:rPr>
          <w:spacing w:val="-5"/>
          <w:sz w:val="24"/>
        </w:rPr>
        <w:t> </w:t>
      </w:r>
      <w:r>
        <w:rPr>
          <w:sz w:val="24"/>
        </w:rPr>
        <w:t>submitted</w:t>
      </w:r>
      <w:r>
        <w:rPr>
          <w:spacing w:val="-5"/>
          <w:sz w:val="24"/>
        </w:rPr>
        <w:t> </w:t>
      </w:r>
      <w:r>
        <w:rPr>
          <w:sz w:val="24"/>
        </w:rPr>
        <w:t>via</w:t>
      </w:r>
      <w:r>
        <w:rPr>
          <w:spacing w:val="-5"/>
          <w:sz w:val="24"/>
        </w:rPr>
        <w:t> </w:t>
      </w:r>
      <w:r>
        <w:rPr>
          <w:sz w:val="24"/>
        </w:rPr>
        <w:t>SMARTS</w:t>
      </w:r>
      <w:r>
        <w:rPr>
          <w:spacing w:val="-5"/>
          <w:sz w:val="24"/>
        </w:rPr>
        <w:t> </w:t>
      </w:r>
      <w:r>
        <w:rPr>
          <w:sz w:val="24"/>
        </w:rPr>
        <w:t>by</w:t>
      </w:r>
      <w:r>
        <w:rPr>
          <w:spacing w:val="-5"/>
          <w:sz w:val="24"/>
        </w:rPr>
        <w:t> </w:t>
      </w:r>
      <w:r>
        <w:rPr>
          <w:sz w:val="24"/>
        </w:rPr>
        <w:t>an</w:t>
      </w:r>
      <w:r>
        <w:rPr>
          <w:spacing w:val="-5"/>
          <w:sz w:val="24"/>
        </w:rPr>
        <w:t> </w:t>
      </w:r>
      <w:r>
        <w:rPr>
          <w:sz w:val="24"/>
        </w:rPr>
        <w:t>unauthorized</w:t>
      </w:r>
      <w:r>
        <w:rPr>
          <w:spacing w:val="-5"/>
          <w:sz w:val="24"/>
        </w:rPr>
        <w:t> </w:t>
      </w:r>
      <w:r>
        <w:rPr>
          <w:sz w:val="24"/>
        </w:rPr>
        <w:t>or</w:t>
      </w:r>
      <w:r>
        <w:rPr>
          <w:spacing w:val="-5"/>
          <w:sz w:val="24"/>
        </w:rPr>
        <w:t> </w:t>
      </w:r>
      <w:r>
        <w:rPr>
          <w:sz w:val="24"/>
        </w:rPr>
        <w:t>ineligible Legally Responsible Person or Duly Authorized Representative are</w:t>
      </w:r>
      <w:r>
        <w:rPr>
          <w:spacing w:val="-25"/>
          <w:sz w:val="24"/>
        </w:rPr>
        <w:t> </w:t>
      </w:r>
      <w:r>
        <w:rPr>
          <w:sz w:val="24"/>
        </w:rPr>
        <w:t>invalid.</w:t>
      </w:r>
    </w:p>
    <w:p>
      <w:pPr>
        <w:pStyle w:val="BodyText"/>
        <w:spacing w:before="10"/>
        <w:rPr>
          <w:sz w:val="20"/>
        </w:rPr>
      </w:pPr>
    </w:p>
    <w:p>
      <w:pPr>
        <w:pStyle w:val="Heading1"/>
        <w:numPr>
          <w:ilvl w:val="1"/>
          <w:numId w:val="13"/>
        </w:numPr>
        <w:tabs>
          <w:tab w:pos="871" w:val="left" w:leader="none"/>
        </w:tabs>
        <w:spacing w:line="240" w:lineRule="auto" w:before="0" w:after="0"/>
        <w:ind w:left="870" w:right="0" w:hanging="591"/>
        <w:jc w:val="left"/>
      </w:pPr>
      <w:bookmarkStart w:name="_TOC_250008" w:id="44"/>
      <w:bookmarkEnd w:id="44"/>
      <w:r>
        <w:rPr/>
        <w:t>Other Special Provisions.</w:t>
      </w:r>
    </w:p>
    <w:p>
      <w:pPr>
        <w:pStyle w:val="BodyText"/>
        <w:spacing w:before="10"/>
        <w:rPr>
          <w:b/>
          <w:sz w:val="20"/>
        </w:rPr>
      </w:pPr>
    </w:p>
    <w:p>
      <w:pPr>
        <w:pStyle w:val="Heading1"/>
        <w:numPr>
          <w:ilvl w:val="2"/>
          <w:numId w:val="13"/>
        </w:numPr>
        <w:tabs>
          <w:tab w:pos="1101" w:val="left" w:leader="none"/>
        </w:tabs>
        <w:spacing w:line="240" w:lineRule="auto" w:before="1" w:after="0"/>
        <w:ind w:left="1100" w:right="0" w:hanging="821"/>
        <w:jc w:val="left"/>
      </w:pPr>
      <w:bookmarkStart w:name="_TOC_250007" w:id="45"/>
      <w:r>
        <w:rPr/>
        <w:t>Expiration and Continuation of this</w:t>
      </w:r>
      <w:r>
        <w:rPr>
          <w:spacing w:val="-2"/>
        </w:rPr>
        <w:t> </w:t>
      </w:r>
      <w:bookmarkEnd w:id="45"/>
      <w:r>
        <w:rPr/>
        <w:t>Order.</w:t>
      </w:r>
    </w:p>
    <w:p>
      <w:pPr>
        <w:pStyle w:val="BodyText"/>
        <w:spacing w:before="11"/>
        <w:rPr>
          <w:b/>
          <w:sz w:val="23"/>
        </w:rPr>
      </w:pPr>
    </w:p>
    <w:p>
      <w:pPr>
        <w:pStyle w:val="BodyText"/>
        <w:ind w:left="1100" w:right="1343"/>
        <w:jc w:val="both"/>
      </w:pPr>
      <w:r>
        <w:rPr/>
        <w:t>This Order expires on </w:t>
      </w:r>
      <w:r>
        <w:rPr>
          <w:b/>
        </w:rPr>
        <w:t>&lt;DATE&gt;</w:t>
      </w:r>
      <w:r>
        <w:rPr/>
        <w:t>; however, for those Dischargers authorized to discharge under this Order, it shall continue in full force and effect until a new order is adopted.</w:t>
      </w:r>
    </w:p>
    <w:p>
      <w:pPr>
        <w:pStyle w:val="BodyText"/>
        <w:spacing w:before="10"/>
        <w:rPr>
          <w:sz w:val="20"/>
        </w:rPr>
      </w:pPr>
    </w:p>
    <w:p>
      <w:pPr>
        <w:pStyle w:val="Heading1"/>
        <w:numPr>
          <w:ilvl w:val="2"/>
          <w:numId w:val="13"/>
        </w:numPr>
        <w:tabs>
          <w:tab w:pos="1101" w:val="left" w:leader="none"/>
        </w:tabs>
        <w:spacing w:line="240" w:lineRule="auto" w:before="0" w:after="0"/>
        <w:ind w:left="1100" w:right="0" w:hanging="821"/>
        <w:jc w:val="left"/>
      </w:pPr>
      <w:bookmarkStart w:name="_TOC_250006" w:id="46"/>
      <w:bookmarkEnd w:id="46"/>
      <w:r>
        <w:rPr/>
        <w:t>Reauthorization.</w:t>
      </w:r>
    </w:p>
    <w:p>
      <w:pPr>
        <w:pStyle w:val="BodyText"/>
        <w:rPr>
          <w:b/>
        </w:rPr>
      </w:pPr>
    </w:p>
    <w:p>
      <w:pPr>
        <w:pStyle w:val="BodyText"/>
        <w:ind w:left="1100" w:right="1082"/>
      </w:pPr>
      <w:r>
        <w:rPr/>
        <w:t>Upon reissuance of a new order, Dischargers authorized under this Order shall file an NOI or a new Report of Waste Discharge within 60 days of notification by the Executive Officer.</w:t>
      </w:r>
    </w:p>
    <w:p>
      <w:pPr>
        <w:spacing w:after="0"/>
        <w:sectPr>
          <w:pgSz w:w="12240" w:h="15840"/>
          <w:pgMar w:header="728" w:footer="788" w:top="1540" w:bottom="980" w:left="1160" w:right="420"/>
        </w:sectPr>
      </w:pPr>
    </w:p>
    <w:p>
      <w:pPr>
        <w:pStyle w:val="BodyText"/>
        <w:spacing w:before="11"/>
        <w:rPr>
          <w:sz w:val="15"/>
        </w:rPr>
      </w:pPr>
    </w:p>
    <w:p>
      <w:pPr>
        <w:pStyle w:val="Heading1"/>
        <w:numPr>
          <w:ilvl w:val="0"/>
          <w:numId w:val="4"/>
        </w:numPr>
        <w:tabs>
          <w:tab w:pos="640" w:val="left" w:leader="none"/>
        </w:tabs>
        <w:spacing w:line="240" w:lineRule="auto" w:before="92" w:after="0"/>
        <w:ind w:left="639" w:right="0" w:hanging="360"/>
        <w:jc w:val="left"/>
      </w:pPr>
      <w:r>
        <w:rPr/>
        <w:t>COMPLIANCE DETERMINATION FOR COMPLIANCE OPTION</w:t>
      </w:r>
      <w:r>
        <w:rPr>
          <w:spacing w:val="-2"/>
        </w:rPr>
        <w:t> </w:t>
      </w:r>
      <w:r>
        <w:rPr/>
        <w:t>3.</w:t>
      </w:r>
    </w:p>
    <w:p>
      <w:pPr>
        <w:pStyle w:val="BodyText"/>
        <w:spacing w:before="10"/>
        <w:rPr>
          <w:b/>
          <w:sz w:val="20"/>
        </w:rPr>
      </w:pPr>
    </w:p>
    <w:p>
      <w:pPr>
        <w:pStyle w:val="ListParagraph"/>
        <w:numPr>
          <w:ilvl w:val="1"/>
          <w:numId w:val="4"/>
        </w:numPr>
        <w:tabs>
          <w:tab w:pos="869" w:val="left" w:leader="none"/>
        </w:tabs>
        <w:spacing w:line="240" w:lineRule="auto" w:before="0" w:after="0"/>
        <w:ind w:left="870" w:right="1250" w:hanging="591"/>
        <w:jc w:val="left"/>
        <w:rPr>
          <w:sz w:val="24"/>
        </w:rPr>
      </w:pPr>
      <w:r>
        <w:rPr>
          <w:sz w:val="24"/>
        </w:rPr>
        <w:t>Compliance with the applicable effluent limitations, as described in section 8.3 of this Order, will be determined as specified</w:t>
      </w:r>
      <w:r>
        <w:rPr>
          <w:spacing w:val="-4"/>
          <w:sz w:val="24"/>
        </w:rPr>
        <w:t> </w:t>
      </w:r>
      <w:r>
        <w:rPr>
          <w:sz w:val="24"/>
        </w:rPr>
        <w:t>below:</w:t>
      </w:r>
    </w:p>
    <w:p>
      <w:pPr>
        <w:pStyle w:val="BodyText"/>
        <w:spacing w:before="10"/>
        <w:rPr>
          <w:sz w:val="20"/>
        </w:rPr>
      </w:pPr>
    </w:p>
    <w:p>
      <w:pPr>
        <w:pStyle w:val="Heading1"/>
        <w:numPr>
          <w:ilvl w:val="1"/>
          <w:numId w:val="4"/>
        </w:numPr>
        <w:tabs>
          <w:tab w:pos="871" w:val="left" w:leader="none"/>
        </w:tabs>
        <w:spacing w:line="240" w:lineRule="auto" w:before="0" w:after="0"/>
        <w:ind w:left="870" w:right="0" w:hanging="592"/>
        <w:jc w:val="left"/>
      </w:pPr>
      <w:bookmarkStart w:name="_TOC_250005" w:id="47"/>
      <w:r>
        <w:rPr/>
        <w:t>Single Constituent Effluent</w:t>
      </w:r>
      <w:r>
        <w:rPr>
          <w:spacing w:val="-3"/>
        </w:rPr>
        <w:t> </w:t>
      </w:r>
      <w:bookmarkEnd w:id="47"/>
      <w:r>
        <w:rPr/>
        <w:t>Limitations.</w:t>
      </w:r>
    </w:p>
    <w:p>
      <w:pPr>
        <w:pStyle w:val="BodyText"/>
        <w:rPr>
          <w:b/>
        </w:rPr>
      </w:pPr>
    </w:p>
    <w:p>
      <w:pPr>
        <w:pStyle w:val="BodyText"/>
        <w:ind w:left="870" w:right="1404"/>
      </w:pPr>
      <w:r>
        <w:rPr/>
        <w:t>If the concentration of the pollutant in the monitoring sample is greater than the effluent limitation and greater than or equal to the reported ML, then the Discharger is out of compliance.</w:t>
      </w:r>
    </w:p>
    <w:p>
      <w:pPr>
        <w:pStyle w:val="BodyText"/>
        <w:spacing w:before="10"/>
        <w:rPr>
          <w:sz w:val="20"/>
        </w:rPr>
      </w:pPr>
    </w:p>
    <w:p>
      <w:pPr>
        <w:pStyle w:val="Heading1"/>
        <w:numPr>
          <w:ilvl w:val="1"/>
          <w:numId w:val="4"/>
        </w:numPr>
        <w:tabs>
          <w:tab w:pos="871" w:val="left" w:leader="none"/>
        </w:tabs>
        <w:spacing w:line="240" w:lineRule="auto" w:before="0" w:after="0"/>
        <w:ind w:left="870" w:right="0" w:hanging="591"/>
        <w:jc w:val="left"/>
      </w:pPr>
      <w:bookmarkStart w:name="_TOC_250004" w:id="48"/>
      <w:r>
        <w:rPr/>
        <w:t>Effluent Limitations Expressed as a Sum of Several</w:t>
      </w:r>
      <w:r>
        <w:rPr>
          <w:spacing w:val="-6"/>
        </w:rPr>
        <w:t> </w:t>
      </w:r>
      <w:bookmarkEnd w:id="48"/>
      <w:r>
        <w:rPr/>
        <w:t>Constituents.</w:t>
      </w:r>
    </w:p>
    <w:p>
      <w:pPr>
        <w:pStyle w:val="BodyText"/>
        <w:rPr>
          <w:b/>
        </w:rPr>
      </w:pPr>
    </w:p>
    <w:p>
      <w:pPr>
        <w:pStyle w:val="BodyText"/>
        <w:spacing w:before="1"/>
        <w:ind w:left="870" w:right="1285"/>
      </w:pPr>
      <w:r>
        <w:rPr/>
        <w:t>If the sum of the individual pollutant concentrations is greater than the effluent limitation, then the Discharger is out of compliance. In calculating the sum of the concentrations of a group of pollutants, consider constituents reported as “Not Detected” (ND) or “Detected, but Not Quantified” (DNQ) to have concentrations equal to zero, provided that the applicable ML is used.</w:t>
      </w:r>
    </w:p>
    <w:p>
      <w:pPr>
        <w:pStyle w:val="BodyText"/>
        <w:spacing w:before="9"/>
        <w:rPr>
          <w:sz w:val="20"/>
        </w:rPr>
      </w:pPr>
    </w:p>
    <w:p>
      <w:pPr>
        <w:pStyle w:val="Heading1"/>
        <w:numPr>
          <w:ilvl w:val="1"/>
          <w:numId w:val="4"/>
        </w:numPr>
        <w:tabs>
          <w:tab w:pos="871" w:val="left" w:leader="none"/>
        </w:tabs>
        <w:spacing w:line="240" w:lineRule="auto" w:before="1" w:after="0"/>
        <w:ind w:left="870" w:right="0" w:hanging="591"/>
        <w:jc w:val="left"/>
      </w:pPr>
      <w:bookmarkStart w:name="_TOC_250003" w:id="49"/>
      <w:r>
        <w:rPr/>
        <w:t>Instantaneous Minimum Effluent</w:t>
      </w:r>
      <w:r>
        <w:rPr>
          <w:spacing w:val="-1"/>
        </w:rPr>
        <w:t> </w:t>
      </w:r>
      <w:bookmarkEnd w:id="49"/>
      <w:r>
        <w:rPr/>
        <w:t>Limitations.</w:t>
      </w:r>
    </w:p>
    <w:p>
      <w:pPr>
        <w:pStyle w:val="BodyText"/>
        <w:rPr>
          <w:b/>
        </w:rPr>
      </w:pPr>
    </w:p>
    <w:p>
      <w:pPr>
        <w:pStyle w:val="BodyText"/>
        <w:ind w:left="870" w:right="1071"/>
      </w:pPr>
      <w:r>
        <w:rPr/>
        <w:t>If the analytical result of a single grab sample is lower than the instantaneous minimum effluent limitation for a parameter, the Discharger will be considered out of compliance for that parameter for that single sample. Non-compliance for each sample will be considered separately (e.g., the results of two grab samples taken within a calendar day that both are lower than the instantaneous minimum effluent limitation would result in two instances of non-compliance with the instantaneous minimum effluent limitation).</w:t>
      </w:r>
    </w:p>
    <w:p>
      <w:pPr>
        <w:pStyle w:val="BodyText"/>
        <w:spacing w:before="9"/>
        <w:rPr>
          <w:sz w:val="20"/>
        </w:rPr>
      </w:pPr>
    </w:p>
    <w:p>
      <w:pPr>
        <w:pStyle w:val="Heading1"/>
        <w:numPr>
          <w:ilvl w:val="1"/>
          <w:numId w:val="4"/>
        </w:numPr>
        <w:tabs>
          <w:tab w:pos="871" w:val="left" w:leader="none"/>
        </w:tabs>
        <w:spacing w:line="240" w:lineRule="auto" w:before="0" w:after="0"/>
        <w:ind w:left="870" w:right="0" w:hanging="591"/>
        <w:jc w:val="left"/>
      </w:pPr>
      <w:bookmarkStart w:name="_TOC_250002" w:id="50"/>
      <w:bookmarkEnd w:id="50"/>
      <w:r>
        <w:rPr/>
        <w:t>Instantaneous Maximum Effluent Limitations</w:t>
      </w:r>
    </w:p>
    <w:p>
      <w:pPr>
        <w:pStyle w:val="BodyText"/>
        <w:rPr>
          <w:b/>
        </w:rPr>
      </w:pPr>
    </w:p>
    <w:p>
      <w:pPr>
        <w:pStyle w:val="BodyText"/>
        <w:ind w:left="870" w:right="1086"/>
      </w:pPr>
      <w:r>
        <w:rPr/>
        <w:t>If the analytical result of a single grab sample is higher than the instantaneous maximum effluent limitation for a parameter, the Discharger will be considered out of compliance for that parameter for that single sample. Non-compliance for each sample will be considered separately (e.g., the results of two grab samples taken within a calendar day that both exceed the instantaneous maximum effluent limitation would result in two instances of non-compliance with the instantaneous maximum effluent limitation).</w:t>
      </w:r>
    </w:p>
    <w:p>
      <w:pPr>
        <w:spacing w:after="0"/>
        <w:sectPr>
          <w:pgSz w:w="12240" w:h="15840"/>
          <w:pgMar w:header="728" w:footer="788" w:top="1540" w:bottom="980" w:left="1160" w:right="420"/>
        </w:sectPr>
      </w:pPr>
    </w:p>
    <w:p>
      <w:pPr>
        <w:pStyle w:val="BodyText"/>
        <w:spacing w:before="11"/>
        <w:rPr>
          <w:sz w:val="15"/>
        </w:rPr>
      </w:pPr>
    </w:p>
    <w:p>
      <w:pPr>
        <w:pStyle w:val="Heading1"/>
        <w:numPr>
          <w:ilvl w:val="1"/>
          <w:numId w:val="4"/>
        </w:numPr>
        <w:tabs>
          <w:tab w:pos="871" w:val="left" w:leader="none"/>
        </w:tabs>
        <w:spacing w:line="240" w:lineRule="auto" w:before="92" w:after="0"/>
        <w:ind w:left="870" w:right="0" w:hanging="591"/>
        <w:jc w:val="left"/>
      </w:pPr>
      <w:bookmarkStart w:name="_TOC_250001" w:id="51"/>
      <w:r>
        <w:rPr/>
        <w:t>Monthly Average Effluent</w:t>
      </w:r>
      <w:r>
        <w:rPr>
          <w:spacing w:val="-1"/>
        </w:rPr>
        <w:t> </w:t>
      </w:r>
      <w:bookmarkEnd w:id="51"/>
      <w:r>
        <w:rPr/>
        <w:t>Limitations</w:t>
      </w:r>
    </w:p>
    <w:p>
      <w:pPr>
        <w:pStyle w:val="BodyText"/>
        <w:rPr>
          <w:b/>
        </w:rPr>
      </w:pPr>
    </w:p>
    <w:p>
      <w:pPr>
        <w:pStyle w:val="BodyText"/>
        <w:ind w:left="870" w:right="1378"/>
      </w:pPr>
      <w:r>
        <w:rPr/>
        <w:t>If the average (or when applicable, the median determined by section 11.4.2 below for multiple sample data) of daily discharges over a calendar month exceeds the Monthly Average Effluent Limitation for a given parameter, this will represent a single violation, though the Discharger may be considered out of compliance for each day of that month for that parameter (e.g., resulting in 31 days of noncompliance in a 31-day month) in cases where discretionary administrative civil liabilities are appropriate. If only a single sample is collected during the calendar month and the analytical result for that sample exceeds the Monthly Average Effluent Limitation, the Discharger may be considered out of compliance for that calendar month.</w:t>
      </w:r>
    </w:p>
    <w:p>
      <w:pPr>
        <w:pStyle w:val="BodyText"/>
        <w:spacing w:before="10"/>
        <w:rPr>
          <w:sz w:val="20"/>
        </w:rPr>
      </w:pPr>
    </w:p>
    <w:p>
      <w:pPr>
        <w:pStyle w:val="Heading1"/>
        <w:numPr>
          <w:ilvl w:val="1"/>
          <w:numId w:val="4"/>
        </w:numPr>
        <w:tabs>
          <w:tab w:pos="871" w:val="left" w:leader="none"/>
        </w:tabs>
        <w:spacing w:line="240" w:lineRule="auto" w:before="1" w:after="0"/>
        <w:ind w:left="870" w:right="0" w:hanging="591"/>
        <w:jc w:val="left"/>
      </w:pPr>
      <w:bookmarkStart w:name="_TOC_250000" w:id="52"/>
      <w:r>
        <w:rPr/>
        <w:t>Three Year Average Effluent</w:t>
      </w:r>
      <w:r>
        <w:rPr>
          <w:spacing w:val="-1"/>
        </w:rPr>
        <w:t> </w:t>
      </w:r>
      <w:bookmarkEnd w:id="52"/>
      <w:r>
        <w:rPr/>
        <w:t>Limitations</w:t>
      </w:r>
    </w:p>
    <w:p>
      <w:pPr>
        <w:pStyle w:val="BodyText"/>
        <w:spacing w:before="11"/>
        <w:rPr>
          <w:b/>
          <w:sz w:val="23"/>
        </w:rPr>
      </w:pPr>
    </w:p>
    <w:p>
      <w:pPr>
        <w:pStyle w:val="BodyText"/>
        <w:ind w:left="870" w:right="1036"/>
      </w:pPr>
      <w:r>
        <w:rPr/>
        <w:t>If the average of discharges over any three-year period exceeds the three-year average effluent limitation for a given parameter, the Discharger will be considered out of compliance for each day of that three-year period for that parameter. The next assessment of compliance will occur after the next sample is collected. If only a single sample is collected during a given three-year period and the analytical result for that sample exceeds the three-year average, the Discharger will be considered out of compliance for the three-year period. For any three-year period during which no sample is collected, no compliance determination can be made for the three-year average effluent</w:t>
      </w:r>
      <w:r>
        <w:rPr>
          <w:spacing w:val="-2"/>
        </w:rPr>
        <w:t> </w:t>
      </w:r>
      <w:r>
        <w:rPr/>
        <w:t>limitation.</w:t>
      </w:r>
    </w:p>
    <w:p>
      <w:pPr>
        <w:pStyle w:val="BodyText"/>
        <w:spacing w:before="9"/>
        <w:rPr>
          <w:sz w:val="20"/>
        </w:rPr>
      </w:pPr>
    </w:p>
    <w:p>
      <w:pPr>
        <w:pStyle w:val="Heading1"/>
      </w:pPr>
      <w:r>
        <w:rPr/>
        <w:t>Multiple Sample Data.</w:t>
      </w:r>
    </w:p>
    <w:p>
      <w:pPr>
        <w:pStyle w:val="BodyText"/>
        <w:rPr>
          <w:b/>
        </w:rPr>
      </w:pPr>
    </w:p>
    <w:p>
      <w:pPr>
        <w:pStyle w:val="BodyText"/>
        <w:ind w:left="870" w:right="1058"/>
      </w:pPr>
      <w:r>
        <w:rPr/>
        <w:t>When determining compliance with an effluent limitation and more than one sample result is available, the Discharger shall compute the arithmetic mean unless the data set contains one or more reported determinations of DNQ or ND. In those cases, the Discharger shall compute the median in place of the arithmetic mean in accordance with the following procedure.</w:t>
      </w:r>
    </w:p>
    <w:p>
      <w:pPr>
        <w:pStyle w:val="BodyText"/>
      </w:pPr>
    </w:p>
    <w:p>
      <w:pPr>
        <w:pStyle w:val="BodyText"/>
        <w:ind w:left="870" w:right="1152"/>
      </w:pPr>
      <w:r>
        <w:rPr/>
        <w:t>The data set shall be ranked from low to high, ranking the reported ND determinations lowest, DNQ determinations next, followed by quantified values (if any). The order of the individual ND or DNQ determinations is unimportant.</w:t>
      </w:r>
    </w:p>
    <w:p>
      <w:pPr>
        <w:pStyle w:val="BodyText"/>
      </w:pPr>
    </w:p>
    <w:p>
      <w:pPr>
        <w:pStyle w:val="BodyText"/>
        <w:ind w:left="870" w:right="1152"/>
      </w:pPr>
      <w:r>
        <w:rPr/>
        <w:t>The median value of the data set shall be determined. If the data set has an odd number of data points, then the median is the middle value. If the data set has an even number of data points, then the median is the average of the two values around the middle unless one or both of the points are ND or DNQ, in which case</w:t>
      </w:r>
    </w:p>
    <w:p>
      <w:pPr>
        <w:spacing w:after="0"/>
        <w:sectPr>
          <w:pgSz w:w="12240" w:h="15840"/>
          <w:pgMar w:header="728" w:footer="788" w:top="1540" w:bottom="980" w:left="1160" w:right="420"/>
        </w:sectPr>
      </w:pPr>
    </w:p>
    <w:p>
      <w:pPr>
        <w:pStyle w:val="BodyText"/>
        <w:spacing w:before="11"/>
        <w:rPr>
          <w:sz w:val="15"/>
        </w:rPr>
      </w:pPr>
    </w:p>
    <w:p>
      <w:pPr>
        <w:pStyle w:val="BodyText"/>
        <w:spacing w:before="92"/>
        <w:ind w:left="870" w:right="1458"/>
      </w:pPr>
      <w:r>
        <w:rPr/>
        <w:t>the median value shall be the lower of the two data points where DNQ is lower than a value and ND is lower than DNQ.</w:t>
      </w:r>
    </w:p>
    <w:p>
      <w:pPr>
        <w:pStyle w:val="BodyText"/>
        <w:spacing w:before="10"/>
        <w:rPr>
          <w:sz w:val="20"/>
        </w:rPr>
      </w:pPr>
    </w:p>
    <w:p>
      <w:pPr>
        <w:pStyle w:val="Heading1"/>
        <w:numPr>
          <w:ilvl w:val="1"/>
          <w:numId w:val="4"/>
        </w:numPr>
        <w:tabs>
          <w:tab w:pos="871" w:val="left" w:leader="none"/>
        </w:tabs>
        <w:spacing w:line="240" w:lineRule="auto" w:before="0" w:after="0"/>
        <w:ind w:left="870" w:right="0" w:hanging="591"/>
        <w:jc w:val="left"/>
      </w:pPr>
      <w:r>
        <w:rPr/>
        <w:t>Bacterial Standards and</w:t>
      </w:r>
      <w:r>
        <w:rPr>
          <w:spacing w:val="-1"/>
        </w:rPr>
        <w:t> </w:t>
      </w:r>
      <w:r>
        <w:rPr/>
        <w:t>Analyses.</w:t>
      </w:r>
    </w:p>
    <w:p>
      <w:pPr>
        <w:pStyle w:val="BodyText"/>
        <w:spacing w:before="10"/>
        <w:rPr>
          <w:b/>
          <w:sz w:val="20"/>
        </w:rPr>
      </w:pPr>
    </w:p>
    <w:p>
      <w:pPr>
        <w:pStyle w:val="ListParagraph"/>
        <w:numPr>
          <w:ilvl w:val="2"/>
          <w:numId w:val="4"/>
        </w:numPr>
        <w:tabs>
          <w:tab w:pos="1100" w:val="left" w:leader="none"/>
        </w:tabs>
        <w:spacing w:line="240" w:lineRule="auto" w:before="0" w:after="0"/>
        <w:ind w:left="1100" w:right="1045" w:hanging="821"/>
        <w:jc w:val="left"/>
        <w:rPr>
          <w:sz w:val="24"/>
        </w:rPr>
      </w:pPr>
      <w:r>
        <w:rPr>
          <w:sz w:val="24"/>
        </w:rPr>
        <w:t>The STV shall not be exceeded by more than 10 percent of samples collected in a calendar month, calculated in a static</w:t>
      </w:r>
      <w:r>
        <w:rPr>
          <w:spacing w:val="-5"/>
          <w:sz w:val="24"/>
        </w:rPr>
        <w:t> </w:t>
      </w:r>
      <w:r>
        <w:rPr>
          <w:sz w:val="24"/>
        </w:rPr>
        <w:t>manner.</w:t>
      </w:r>
    </w:p>
    <w:p>
      <w:pPr>
        <w:pStyle w:val="BodyText"/>
        <w:spacing w:before="10"/>
        <w:rPr>
          <w:sz w:val="20"/>
        </w:rPr>
      </w:pPr>
    </w:p>
    <w:p>
      <w:pPr>
        <w:pStyle w:val="ListParagraph"/>
        <w:numPr>
          <w:ilvl w:val="2"/>
          <w:numId w:val="4"/>
        </w:numPr>
        <w:tabs>
          <w:tab w:pos="1100" w:val="left" w:leader="none"/>
        </w:tabs>
        <w:spacing w:line="240" w:lineRule="auto" w:before="0" w:after="0"/>
        <w:ind w:left="1100" w:right="1167" w:hanging="821"/>
        <w:jc w:val="left"/>
        <w:rPr>
          <w:sz w:val="24"/>
        </w:rPr>
      </w:pPr>
      <w:r>
        <w:rPr>
          <w:sz w:val="24"/>
        </w:rPr>
        <w:t>For bacterial analyses, sample dilutions should be performed so the expected range of values is bracketed (for example, with multiple tube fermentation method or membrane filtration method, 2 to 16,000 per 100 mL for total, and </w:t>
      </w:r>
      <w:r>
        <w:rPr>
          <w:i/>
          <w:sz w:val="24"/>
        </w:rPr>
        <w:t>E. </w:t>
      </w:r>
      <w:r>
        <w:rPr>
          <w:i/>
          <w:sz w:val="24"/>
        </w:rPr>
        <w:t>coli</w:t>
      </w:r>
      <w:r>
        <w:rPr>
          <w:sz w:val="24"/>
        </w:rPr>
        <w:t>, at a minimum, and 1 to 1,000 per 100 mL for enterococcus). The</w:t>
      </w:r>
      <w:r>
        <w:rPr>
          <w:spacing w:val="-44"/>
          <w:sz w:val="24"/>
        </w:rPr>
        <w:t> </w:t>
      </w:r>
      <w:r>
        <w:rPr>
          <w:sz w:val="24"/>
        </w:rPr>
        <w:t>detection methods used for each analysis shall be reported with the results of the analyses.</w:t>
      </w:r>
    </w:p>
    <w:p>
      <w:pPr>
        <w:pStyle w:val="BodyText"/>
        <w:spacing w:before="10"/>
        <w:rPr>
          <w:sz w:val="20"/>
        </w:rPr>
      </w:pPr>
    </w:p>
    <w:p>
      <w:pPr>
        <w:pStyle w:val="ListParagraph"/>
        <w:numPr>
          <w:ilvl w:val="2"/>
          <w:numId w:val="4"/>
        </w:numPr>
        <w:tabs>
          <w:tab w:pos="1100" w:val="left" w:leader="none"/>
        </w:tabs>
        <w:spacing w:line="240" w:lineRule="auto" w:before="1" w:after="0"/>
        <w:ind w:left="1100" w:right="1190" w:hanging="821"/>
        <w:jc w:val="left"/>
        <w:rPr>
          <w:sz w:val="24"/>
        </w:rPr>
      </w:pPr>
      <w:r>
        <w:rPr>
          <w:sz w:val="24"/>
        </w:rPr>
        <w:t>Detection methods used for coliforms (total and fecal) shall be those presented in Table 1A of 40 CFR part 136 or 40 CFR part 141 when approved by this Los Angeles Water Board and the State Water Board, unless alternate methods have been approved by USEPA pursuant to 40 CFR part 136, or improved methods have been determined by the Executive Officer and/or</w:t>
      </w:r>
      <w:r>
        <w:rPr>
          <w:spacing w:val="-21"/>
          <w:sz w:val="24"/>
        </w:rPr>
        <w:t> </w:t>
      </w:r>
      <w:r>
        <w:rPr>
          <w:sz w:val="24"/>
        </w:rPr>
        <w:t>USEPA.</w:t>
      </w:r>
    </w:p>
    <w:p>
      <w:pPr>
        <w:pStyle w:val="BodyText"/>
        <w:spacing w:before="10"/>
        <w:rPr>
          <w:sz w:val="20"/>
        </w:rPr>
      </w:pPr>
    </w:p>
    <w:p>
      <w:pPr>
        <w:pStyle w:val="ListParagraph"/>
        <w:numPr>
          <w:ilvl w:val="2"/>
          <w:numId w:val="4"/>
        </w:numPr>
        <w:tabs>
          <w:tab w:pos="1100" w:val="left" w:leader="none"/>
        </w:tabs>
        <w:spacing w:line="240" w:lineRule="auto" w:before="0" w:after="0"/>
        <w:ind w:left="1100" w:right="1338" w:hanging="821"/>
        <w:jc w:val="left"/>
        <w:rPr>
          <w:sz w:val="24"/>
        </w:rPr>
      </w:pPr>
      <w:r>
        <w:rPr>
          <w:sz w:val="24"/>
        </w:rPr>
        <w:t>Detection methods used for </w:t>
      </w:r>
      <w:r>
        <w:rPr>
          <w:i/>
          <w:sz w:val="24"/>
        </w:rPr>
        <w:t>E. coli </w:t>
      </w:r>
      <w:r>
        <w:rPr>
          <w:sz w:val="24"/>
        </w:rPr>
        <w:t>shall be those presented in Table 1A of 40 CFR part 136 or 40 CFR part 141 when approved by this Los Angeles Water Board and the State Water Board, or in the USEPA publication EPA 600/4- 85/076, </w:t>
      </w:r>
      <w:r>
        <w:rPr>
          <w:i/>
          <w:sz w:val="24"/>
        </w:rPr>
        <w:t>Test Methods for Escherichia coli and Enterococci in Water By </w:t>
      </w:r>
      <w:r>
        <w:rPr>
          <w:i/>
          <w:sz w:val="24"/>
        </w:rPr>
        <w:t>Membrane Filter Procedure </w:t>
      </w:r>
      <w:r>
        <w:rPr>
          <w:sz w:val="24"/>
        </w:rPr>
        <w:t>or any improved method determined by the Executive Officer and/or USEPA to be</w:t>
      </w:r>
      <w:r>
        <w:rPr>
          <w:spacing w:val="-4"/>
          <w:sz w:val="24"/>
        </w:rPr>
        <w:t> </w:t>
      </w:r>
      <w:r>
        <w:rPr>
          <w:sz w:val="24"/>
        </w:rPr>
        <w:t>appropriate.</w:t>
      </w:r>
    </w:p>
    <w:p>
      <w:pPr>
        <w:spacing w:after="0" w:line="240" w:lineRule="auto"/>
        <w:jc w:val="left"/>
        <w:rPr>
          <w:sz w:val="24"/>
        </w:rPr>
        <w:sectPr>
          <w:pgSz w:w="12240" w:h="15840"/>
          <w:pgMar w:header="728" w:footer="788" w:top="1540" w:bottom="980" w:left="1160" w:right="420"/>
        </w:sectPr>
      </w:pPr>
    </w:p>
    <w:p>
      <w:pPr>
        <w:pStyle w:val="BodyText"/>
        <w:spacing w:before="11"/>
        <w:rPr>
          <w:sz w:val="15"/>
        </w:rPr>
      </w:pPr>
    </w:p>
    <w:p>
      <w:pPr>
        <w:pStyle w:val="Heading1"/>
        <w:spacing w:before="92"/>
        <w:ind w:left="1420" w:right="1930"/>
        <w:jc w:val="center"/>
      </w:pPr>
      <w:r>
        <w:rPr/>
        <w:t>ATTACHMENT A — ACRONYMS AND DEFINITIONS</w:t>
      </w:r>
    </w:p>
    <w:p>
      <w:pPr>
        <w:pStyle w:val="BodyText"/>
        <w:spacing w:before="10"/>
        <w:rPr>
          <w:b/>
          <w:sz w:val="20"/>
        </w:rPr>
      </w:pPr>
    </w:p>
    <w:p>
      <w:pPr>
        <w:pStyle w:val="ListParagraph"/>
        <w:numPr>
          <w:ilvl w:val="0"/>
          <w:numId w:val="14"/>
        </w:numPr>
        <w:tabs>
          <w:tab w:pos="706" w:val="left" w:leader="none"/>
          <w:tab w:pos="708" w:val="left" w:leader="none"/>
        </w:tabs>
        <w:spacing w:line="240" w:lineRule="auto" w:before="0" w:after="0"/>
        <w:ind w:left="707" w:right="0" w:hanging="428"/>
        <w:jc w:val="left"/>
        <w:rPr>
          <w:b/>
          <w:sz w:val="24"/>
        </w:rPr>
      </w:pPr>
      <w:r>
        <w:rPr>
          <w:b/>
          <w:sz w:val="24"/>
        </w:rPr>
        <w:t>ACRONYMS.</w:t>
      </w:r>
    </w:p>
    <w:p>
      <w:pPr>
        <w:pStyle w:val="BodyText"/>
        <w:spacing w:before="10"/>
        <w:rPr>
          <w:b/>
          <w:sz w:val="20"/>
        </w:rPr>
      </w:pPr>
    </w:p>
    <w:tbl>
      <w:tblPr>
        <w:tblW w:w="0" w:type="auto"/>
        <w:jc w:val="left"/>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04"/>
        <w:gridCol w:w="6947"/>
      </w:tblGrid>
      <w:tr>
        <w:trPr>
          <w:trHeight w:val="436" w:hRule="atLeast"/>
        </w:trPr>
        <w:tc>
          <w:tcPr>
            <w:tcW w:w="2404" w:type="dxa"/>
            <w:shd w:val="clear" w:color="auto" w:fill="D9D9D9"/>
          </w:tcPr>
          <w:p>
            <w:pPr>
              <w:pStyle w:val="TableParagraph"/>
              <w:spacing w:before="80"/>
              <w:ind w:left="192" w:right="184"/>
              <w:rPr>
                <w:b/>
                <w:sz w:val="24"/>
              </w:rPr>
            </w:pPr>
            <w:r>
              <w:rPr>
                <w:b/>
                <w:sz w:val="24"/>
              </w:rPr>
              <w:t>Acronym</w:t>
            </w:r>
          </w:p>
        </w:tc>
        <w:tc>
          <w:tcPr>
            <w:tcW w:w="6947" w:type="dxa"/>
            <w:shd w:val="clear" w:color="auto" w:fill="D9D9D9"/>
          </w:tcPr>
          <w:p>
            <w:pPr>
              <w:pStyle w:val="TableParagraph"/>
              <w:spacing w:before="80"/>
              <w:ind w:left="217" w:right="209"/>
              <w:rPr>
                <w:b/>
                <w:sz w:val="24"/>
              </w:rPr>
            </w:pPr>
            <w:r>
              <w:rPr>
                <w:b/>
                <w:sz w:val="24"/>
              </w:rPr>
              <w:t>Definition</w:t>
            </w:r>
          </w:p>
        </w:tc>
      </w:tr>
      <w:tr>
        <w:trPr>
          <w:trHeight w:val="355" w:hRule="atLeast"/>
        </w:trPr>
        <w:tc>
          <w:tcPr>
            <w:tcW w:w="2404" w:type="dxa"/>
          </w:tcPr>
          <w:p>
            <w:pPr>
              <w:pStyle w:val="TableParagraph"/>
              <w:spacing w:before="41"/>
              <w:ind w:left="192" w:right="184"/>
              <w:rPr>
                <w:sz w:val="24"/>
              </w:rPr>
            </w:pPr>
            <w:r>
              <w:rPr>
                <w:sz w:val="24"/>
              </w:rPr>
              <w:t>40 CFR</w:t>
            </w:r>
          </w:p>
        </w:tc>
        <w:tc>
          <w:tcPr>
            <w:tcW w:w="6947" w:type="dxa"/>
          </w:tcPr>
          <w:p>
            <w:pPr>
              <w:pStyle w:val="TableParagraph"/>
              <w:spacing w:before="41"/>
              <w:ind w:left="217" w:right="209"/>
              <w:rPr>
                <w:sz w:val="24"/>
              </w:rPr>
            </w:pPr>
            <w:r>
              <w:rPr>
                <w:sz w:val="24"/>
              </w:rPr>
              <w:t>Title 40 of the Code of Federal Regulations</w:t>
            </w:r>
          </w:p>
        </w:tc>
      </w:tr>
      <w:tr>
        <w:trPr>
          <w:trHeight w:val="354" w:hRule="atLeast"/>
        </w:trPr>
        <w:tc>
          <w:tcPr>
            <w:tcW w:w="2404" w:type="dxa"/>
          </w:tcPr>
          <w:p>
            <w:pPr>
              <w:pStyle w:val="TableParagraph"/>
              <w:spacing w:before="41"/>
              <w:ind w:left="191" w:right="184"/>
              <w:rPr>
                <w:sz w:val="24"/>
              </w:rPr>
            </w:pPr>
            <w:r>
              <w:rPr>
                <w:sz w:val="24"/>
              </w:rPr>
              <w:t>ARARs</w:t>
            </w:r>
          </w:p>
        </w:tc>
        <w:tc>
          <w:tcPr>
            <w:tcW w:w="6947" w:type="dxa"/>
          </w:tcPr>
          <w:p>
            <w:pPr>
              <w:pStyle w:val="TableParagraph"/>
              <w:spacing w:before="41"/>
              <w:ind w:left="217" w:right="210"/>
              <w:rPr>
                <w:sz w:val="24"/>
              </w:rPr>
            </w:pPr>
            <w:r>
              <w:rPr>
                <w:sz w:val="24"/>
              </w:rPr>
              <w:t>Applicable or Relevant and Appropriate Requirements</w:t>
            </w:r>
          </w:p>
        </w:tc>
      </w:tr>
      <w:tr>
        <w:trPr>
          <w:trHeight w:val="631" w:hRule="atLeast"/>
        </w:trPr>
        <w:tc>
          <w:tcPr>
            <w:tcW w:w="2404" w:type="dxa"/>
          </w:tcPr>
          <w:p>
            <w:pPr>
              <w:pStyle w:val="TableParagraph"/>
              <w:spacing w:before="180"/>
              <w:ind w:left="191" w:right="184"/>
              <w:rPr>
                <w:sz w:val="24"/>
              </w:rPr>
            </w:pPr>
            <w:r>
              <w:rPr>
                <w:sz w:val="24"/>
              </w:rPr>
              <w:t>Basin Plan</w:t>
            </w:r>
          </w:p>
        </w:tc>
        <w:tc>
          <w:tcPr>
            <w:tcW w:w="6947" w:type="dxa"/>
          </w:tcPr>
          <w:p>
            <w:pPr>
              <w:pStyle w:val="TableParagraph"/>
              <w:spacing w:before="41"/>
              <w:ind w:left="169" w:right="104" w:hanging="40"/>
              <w:jc w:val="left"/>
              <w:rPr>
                <w:i/>
                <w:sz w:val="24"/>
              </w:rPr>
            </w:pPr>
            <w:r>
              <w:rPr>
                <w:i/>
                <w:sz w:val="24"/>
              </w:rPr>
              <w:t>Water Quality Control Plan: Los Angeles Region Basin Plan for </w:t>
            </w:r>
            <w:r>
              <w:rPr>
                <w:i/>
                <w:sz w:val="24"/>
              </w:rPr>
              <w:t>the Coastal Watersheds of Los Angeles and Ventura Counties</w:t>
            </w:r>
          </w:p>
        </w:tc>
      </w:tr>
      <w:tr>
        <w:trPr>
          <w:trHeight w:val="355" w:hRule="atLeast"/>
        </w:trPr>
        <w:tc>
          <w:tcPr>
            <w:tcW w:w="2404" w:type="dxa"/>
          </w:tcPr>
          <w:p>
            <w:pPr>
              <w:pStyle w:val="TableParagraph"/>
              <w:spacing w:before="42"/>
              <w:ind w:left="192" w:right="184"/>
              <w:rPr>
                <w:sz w:val="24"/>
              </w:rPr>
            </w:pPr>
            <w:r>
              <w:rPr>
                <w:sz w:val="24"/>
              </w:rPr>
              <w:t>BAT</w:t>
            </w:r>
          </w:p>
        </w:tc>
        <w:tc>
          <w:tcPr>
            <w:tcW w:w="6947" w:type="dxa"/>
          </w:tcPr>
          <w:p>
            <w:pPr>
              <w:pStyle w:val="TableParagraph"/>
              <w:spacing w:before="42"/>
              <w:ind w:left="217" w:right="209"/>
              <w:rPr>
                <w:sz w:val="24"/>
              </w:rPr>
            </w:pPr>
            <w:r>
              <w:rPr>
                <w:sz w:val="24"/>
              </w:rPr>
              <w:t>Best Available Technology</w:t>
            </w:r>
          </w:p>
        </w:tc>
      </w:tr>
      <w:tr>
        <w:trPr>
          <w:trHeight w:val="356" w:hRule="atLeast"/>
        </w:trPr>
        <w:tc>
          <w:tcPr>
            <w:tcW w:w="2404" w:type="dxa"/>
          </w:tcPr>
          <w:p>
            <w:pPr>
              <w:pStyle w:val="TableParagraph"/>
              <w:spacing w:before="42"/>
              <w:ind w:left="191" w:right="184"/>
              <w:rPr>
                <w:sz w:val="24"/>
              </w:rPr>
            </w:pPr>
            <w:r>
              <w:rPr>
                <w:sz w:val="24"/>
              </w:rPr>
              <w:t>BCT</w:t>
            </w:r>
          </w:p>
        </w:tc>
        <w:tc>
          <w:tcPr>
            <w:tcW w:w="6947" w:type="dxa"/>
          </w:tcPr>
          <w:p>
            <w:pPr>
              <w:pStyle w:val="TableParagraph"/>
              <w:spacing w:before="42"/>
              <w:ind w:left="217" w:right="209"/>
              <w:rPr>
                <w:sz w:val="24"/>
              </w:rPr>
            </w:pPr>
            <w:r>
              <w:rPr>
                <w:sz w:val="24"/>
              </w:rPr>
              <w:t>Best Control Technology</w:t>
            </w:r>
          </w:p>
        </w:tc>
      </w:tr>
      <w:tr>
        <w:trPr>
          <w:trHeight w:val="355" w:hRule="atLeast"/>
        </w:trPr>
        <w:tc>
          <w:tcPr>
            <w:tcW w:w="2404" w:type="dxa"/>
          </w:tcPr>
          <w:p>
            <w:pPr>
              <w:pStyle w:val="TableParagraph"/>
              <w:spacing w:before="42"/>
              <w:ind w:left="193" w:right="184"/>
              <w:rPr>
                <w:sz w:val="24"/>
              </w:rPr>
            </w:pPr>
            <w:r>
              <w:rPr>
                <w:sz w:val="24"/>
              </w:rPr>
              <w:t>BMPs</w:t>
            </w:r>
          </w:p>
        </w:tc>
        <w:tc>
          <w:tcPr>
            <w:tcW w:w="6947" w:type="dxa"/>
          </w:tcPr>
          <w:p>
            <w:pPr>
              <w:pStyle w:val="TableParagraph"/>
              <w:spacing w:before="42"/>
              <w:ind w:left="217" w:right="207"/>
              <w:rPr>
                <w:sz w:val="24"/>
              </w:rPr>
            </w:pPr>
            <w:r>
              <w:rPr>
                <w:sz w:val="24"/>
              </w:rPr>
              <w:t>Best Management Practices</w:t>
            </w:r>
          </w:p>
        </w:tc>
      </w:tr>
      <w:tr>
        <w:trPr>
          <w:trHeight w:val="356" w:hRule="atLeast"/>
        </w:trPr>
        <w:tc>
          <w:tcPr>
            <w:tcW w:w="2404" w:type="dxa"/>
          </w:tcPr>
          <w:p>
            <w:pPr>
              <w:pStyle w:val="TableParagraph"/>
              <w:spacing w:before="42"/>
              <w:ind w:left="192" w:right="184"/>
              <w:rPr>
                <w:sz w:val="24"/>
              </w:rPr>
            </w:pPr>
            <w:r>
              <w:rPr>
                <w:sz w:val="24"/>
              </w:rPr>
              <w:t>BPT</w:t>
            </w:r>
          </w:p>
        </w:tc>
        <w:tc>
          <w:tcPr>
            <w:tcW w:w="6947" w:type="dxa"/>
          </w:tcPr>
          <w:p>
            <w:pPr>
              <w:pStyle w:val="TableParagraph"/>
              <w:spacing w:before="42"/>
              <w:ind w:left="217" w:right="210"/>
              <w:rPr>
                <w:sz w:val="24"/>
              </w:rPr>
            </w:pPr>
            <w:r>
              <w:rPr>
                <w:sz w:val="24"/>
              </w:rPr>
              <w:t>Best Practicable Technology</w:t>
            </w:r>
          </w:p>
        </w:tc>
      </w:tr>
      <w:tr>
        <w:trPr>
          <w:trHeight w:val="632" w:hRule="atLeast"/>
        </w:trPr>
        <w:tc>
          <w:tcPr>
            <w:tcW w:w="2404" w:type="dxa"/>
          </w:tcPr>
          <w:p>
            <w:pPr>
              <w:pStyle w:val="TableParagraph"/>
              <w:spacing w:before="41"/>
              <w:ind w:left="961" w:right="278" w:hanging="653"/>
              <w:jc w:val="left"/>
              <w:rPr>
                <w:sz w:val="24"/>
              </w:rPr>
            </w:pPr>
            <w:r>
              <w:rPr>
                <w:sz w:val="24"/>
              </w:rPr>
              <w:t>California Ocean Plan</w:t>
            </w:r>
          </w:p>
        </w:tc>
        <w:tc>
          <w:tcPr>
            <w:tcW w:w="6947" w:type="dxa"/>
          </w:tcPr>
          <w:p>
            <w:pPr>
              <w:pStyle w:val="TableParagraph"/>
              <w:spacing w:before="41"/>
              <w:ind w:left="2305" w:right="344" w:hanging="1935"/>
              <w:jc w:val="left"/>
              <w:rPr>
                <w:i/>
                <w:sz w:val="24"/>
              </w:rPr>
            </w:pPr>
            <w:r>
              <w:rPr>
                <w:i/>
                <w:sz w:val="24"/>
              </w:rPr>
              <w:t>Water Quality Control Plan for Ocean Waters of California, </w:t>
            </w:r>
            <w:r>
              <w:rPr>
                <w:i/>
                <w:sz w:val="24"/>
              </w:rPr>
              <w:t>California Ocean Plan</w:t>
            </w:r>
          </w:p>
        </w:tc>
      </w:tr>
      <w:tr>
        <w:trPr>
          <w:trHeight w:val="355" w:hRule="atLeast"/>
        </w:trPr>
        <w:tc>
          <w:tcPr>
            <w:tcW w:w="2404" w:type="dxa"/>
          </w:tcPr>
          <w:p>
            <w:pPr>
              <w:pStyle w:val="TableParagraph"/>
              <w:spacing w:before="42"/>
              <w:ind w:left="192" w:right="184"/>
              <w:rPr>
                <w:sz w:val="24"/>
              </w:rPr>
            </w:pPr>
            <w:r>
              <w:rPr>
                <w:sz w:val="24"/>
              </w:rPr>
              <w:t>CEQA</w:t>
            </w:r>
          </w:p>
        </w:tc>
        <w:tc>
          <w:tcPr>
            <w:tcW w:w="6947" w:type="dxa"/>
          </w:tcPr>
          <w:p>
            <w:pPr>
              <w:pStyle w:val="TableParagraph"/>
              <w:spacing w:before="42"/>
              <w:ind w:left="217" w:right="207"/>
              <w:rPr>
                <w:sz w:val="24"/>
              </w:rPr>
            </w:pPr>
            <w:r>
              <w:rPr>
                <w:sz w:val="24"/>
              </w:rPr>
              <w:t>California Environmental Quality Act</w:t>
            </w:r>
          </w:p>
        </w:tc>
      </w:tr>
      <w:tr>
        <w:trPr>
          <w:trHeight w:val="632" w:hRule="atLeast"/>
        </w:trPr>
        <w:tc>
          <w:tcPr>
            <w:tcW w:w="2404" w:type="dxa"/>
          </w:tcPr>
          <w:p>
            <w:pPr>
              <w:pStyle w:val="TableParagraph"/>
              <w:spacing w:before="180"/>
              <w:ind w:left="191" w:right="184"/>
              <w:rPr>
                <w:sz w:val="24"/>
              </w:rPr>
            </w:pPr>
            <w:r>
              <w:rPr>
                <w:sz w:val="24"/>
              </w:rPr>
              <w:t>CERCLA</w:t>
            </w:r>
          </w:p>
        </w:tc>
        <w:tc>
          <w:tcPr>
            <w:tcW w:w="6947" w:type="dxa"/>
          </w:tcPr>
          <w:p>
            <w:pPr>
              <w:pStyle w:val="TableParagraph"/>
              <w:spacing w:before="41"/>
              <w:ind w:left="2866" w:right="123" w:hanging="2716"/>
              <w:jc w:val="left"/>
              <w:rPr>
                <w:sz w:val="24"/>
              </w:rPr>
            </w:pPr>
            <w:r>
              <w:rPr>
                <w:sz w:val="24"/>
              </w:rPr>
              <w:t>Comprehensive Environmental Response, Compensation, and Liability Act</w:t>
            </w:r>
          </w:p>
        </w:tc>
      </w:tr>
      <w:tr>
        <w:trPr>
          <w:trHeight w:val="356" w:hRule="atLeast"/>
        </w:trPr>
        <w:tc>
          <w:tcPr>
            <w:tcW w:w="2404" w:type="dxa"/>
          </w:tcPr>
          <w:p>
            <w:pPr>
              <w:pStyle w:val="TableParagraph"/>
              <w:spacing w:before="42"/>
              <w:ind w:left="192" w:right="184"/>
              <w:rPr>
                <w:sz w:val="24"/>
              </w:rPr>
            </w:pPr>
            <w:r>
              <w:rPr>
                <w:sz w:val="24"/>
              </w:rPr>
              <w:t>CFR</w:t>
            </w:r>
          </w:p>
        </w:tc>
        <w:tc>
          <w:tcPr>
            <w:tcW w:w="6947" w:type="dxa"/>
          </w:tcPr>
          <w:p>
            <w:pPr>
              <w:pStyle w:val="TableParagraph"/>
              <w:spacing w:before="42"/>
              <w:ind w:left="216" w:right="210"/>
              <w:rPr>
                <w:sz w:val="24"/>
              </w:rPr>
            </w:pPr>
            <w:r>
              <w:rPr>
                <w:sz w:val="24"/>
              </w:rPr>
              <w:t>Code of Federal Regulations</w:t>
            </w:r>
          </w:p>
        </w:tc>
      </w:tr>
      <w:tr>
        <w:trPr>
          <w:trHeight w:val="355" w:hRule="atLeast"/>
        </w:trPr>
        <w:tc>
          <w:tcPr>
            <w:tcW w:w="2404" w:type="dxa"/>
          </w:tcPr>
          <w:p>
            <w:pPr>
              <w:pStyle w:val="TableParagraph"/>
              <w:spacing w:before="42"/>
              <w:ind w:left="192" w:right="184"/>
              <w:rPr>
                <w:sz w:val="24"/>
              </w:rPr>
            </w:pPr>
            <w:r>
              <w:rPr>
                <w:sz w:val="24"/>
              </w:rPr>
              <w:t>CFU</w:t>
            </w:r>
          </w:p>
        </w:tc>
        <w:tc>
          <w:tcPr>
            <w:tcW w:w="6947" w:type="dxa"/>
          </w:tcPr>
          <w:p>
            <w:pPr>
              <w:pStyle w:val="TableParagraph"/>
              <w:spacing w:before="42"/>
              <w:ind w:left="217" w:right="210"/>
              <w:rPr>
                <w:sz w:val="24"/>
              </w:rPr>
            </w:pPr>
            <w:r>
              <w:rPr>
                <w:sz w:val="24"/>
              </w:rPr>
              <w:t>Colony Forming Units</w:t>
            </w:r>
          </w:p>
        </w:tc>
      </w:tr>
      <w:tr>
        <w:trPr>
          <w:trHeight w:val="355" w:hRule="atLeast"/>
        </w:trPr>
        <w:tc>
          <w:tcPr>
            <w:tcW w:w="2404" w:type="dxa"/>
          </w:tcPr>
          <w:p>
            <w:pPr>
              <w:pStyle w:val="TableParagraph"/>
              <w:spacing w:before="42"/>
              <w:ind w:left="191" w:right="184"/>
              <w:rPr>
                <w:sz w:val="24"/>
              </w:rPr>
            </w:pPr>
            <w:r>
              <w:rPr>
                <w:sz w:val="24"/>
              </w:rPr>
              <w:t>CII</w:t>
            </w:r>
          </w:p>
        </w:tc>
        <w:tc>
          <w:tcPr>
            <w:tcW w:w="6947" w:type="dxa"/>
          </w:tcPr>
          <w:p>
            <w:pPr>
              <w:pStyle w:val="TableParagraph"/>
              <w:spacing w:before="42"/>
              <w:ind w:left="217" w:right="208"/>
              <w:rPr>
                <w:sz w:val="24"/>
              </w:rPr>
            </w:pPr>
            <w:r>
              <w:rPr>
                <w:sz w:val="24"/>
              </w:rPr>
              <w:t>Commercial, Industrial, and Institutional</w:t>
            </w:r>
          </w:p>
        </w:tc>
      </w:tr>
      <w:tr>
        <w:trPr>
          <w:trHeight w:val="356" w:hRule="atLeast"/>
        </w:trPr>
        <w:tc>
          <w:tcPr>
            <w:tcW w:w="2404" w:type="dxa"/>
          </w:tcPr>
          <w:p>
            <w:pPr>
              <w:pStyle w:val="TableParagraph"/>
              <w:spacing w:before="42"/>
              <w:ind w:left="192" w:right="184"/>
              <w:rPr>
                <w:sz w:val="24"/>
              </w:rPr>
            </w:pPr>
            <w:r>
              <w:rPr>
                <w:sz w:val="24"/>
              </w:rPr>
              <w:t>COMM</w:t>
            </w:r>
          </w:p>
        </w:tc>
        <w:tc>
          <w:tcPr>
            <w:tcW w:w="6947" w:type="dxa"/>
          </w:tcPr>
          <w:p>
            <w:pPr>
              <w:pStyle w:val="TableParagraph"/>
              <w:spacing w:before="42"/>
              <w:ind w:left="216" w:right="210"/>
              <w:rPr>
                <w:sz w:val="24"/>
              </w:rPr>
            </w:pPr>
            <w:r>
              <w:rPr>
                <w:sz w:val="24"/>
              </w:rPr>
              <w:t>Commercial and Sport Fishing</w:t>
            </w:r>
          </w:p>
        </w:tc>
      </w:tr>
      <w:tr>
        <w:trPr>
          <w:trHeight w:val="356" w:hRule="atLeast"/>
        </w:trPr>
        <w:tc>
          <w:tcPr>
            <w:tcW w:w="2404" w:type="dxa"/>
          </w:tcPr>
          <w:p>
            <w:pPr>
              <w:pStyle w:val="TableParagraph"/>
              <w:spacing w:before="42"/>
              <w:ind w:left="192" w:right="184"/>
              <w:rPr>
                <w:sz w:val="24"/>
              </w:rPr>
            </w:pPr>
            <w:r>
              <w:rPr>
                <w:sz w:val="24"/>
              </w:rPr>
              <w:t>Court</w:t>
            </w:r>
          </w:p>
        </w:tc>
        <w:tc>
          <w:tcPr>
            <w:tcW w:w="6947" w:type="dxa"/>
          </w:tcPr>
          <w:p>
            <w:pPr>
              <w:pStyle w:val="TableParagraph"/>
              <w:spacing w:before="42"/>
              <w:ind w:left="215" w:right="210"/>
              <w:rPr>
                <w:sz w:val="24"/>
              </w:rPr>
            </w:pPr>
            <w:r>
              <w:rPr>
                <w:sz w:val="24"/>
              </w:rPr>
              <w:t>United States District Court Central District of California</w:t>
            </w:r>
          </w:p>
        </w:tc>
      </w:tr>
      <w:tr>
        <w:trPr>
          <w:trHeight w:val="355" w:hRule="atLeast"/>
        </w:trPr>
        <w:tc>
          <w:tcPr>
            <w:tcW w:w="2404" w:type="dxa"/>
          </w:tcPr>
          <w:p>
            <w:pPr>
              <w:pStyle w:val="TableParagraph"/>
              <w:spacing w:before="42"/>
              <w:ind w:left="193" w:right="184"/>
              <w:rPr>
                <w:sz w:val="24"/>
              </w:rPr>
            </w:pPr>
            <w:r>
              <w:rPr>
                <w:sz w:val="24"/>
              </w:rPr>
              <w:t>CTR</w:t>
            </w:r>
          </w:p>
        </w:tc>
        <w:tc>
          <w:tcPr>
            <w:tcW w:w="6947" w:type="dxa"/>
          </w:tcPr>
          <w:p>
            <w:pPr>
              <w:pStyle w:val="TableParagraph"/>
              <w:spacing w:before="42"/>
              <w:ind w:left="216" w:right="210"/>
              <w:rPr>
                <w:sz w:val="24"/>
              </w:rPr>
            </w:pPr>
            <w:r>
              <w:rPr>
                <w:sz w:val="24"/>
              </w:rPr>
              <w:t>California Toxics Rule</w:t>
            </w:r>
          </w:p>
        </w:tc>
      </w:tr>
      <w:tr>
        <w:trPr>
          <w:trHeight w:val="356" w:hRule="atLeast"/>
        </w:trPr>
        <w:tc>
          <w:tcPr>
            <w:tcW w:w="2404" w:type="dxa"/>
          </w:tcPr>
          <w:p>
            <w:pPr>
              <w:pStyle w:val="TableParagraph"/>
              <w:spacing w:before="41"/>
              <w:ind w:left="192" w:right="184"/>
              <w:rPr>
                <w:sz w:val="24"/>
              </w:rPr>
            </w:pPr>
            <w:r>
              <w:rPr>
                <w:sz w:val="24"/>
              </w:rPr>
              <w:t>CWA</w:t>
            </w:r>
          </w:p>
        </w:tc>
        <w:tc>
          <w:tcPr>
            <w:tcW w:w="6947" w:type="dxa"/>
          </w:tcPr>
          <w:p>
            <w:pPr>
              <w:pStyle w:val="TableParagraph"/>
              <w:spacing w:before="41"/>
              <w:ind w:left="217" w:right="209"/>
              <w:rPr>
                <w:sz w:val="24"/>
              </w:rPr>
            </w:pPr>
            <w:r>
              <w:rPr>
                <w:sz w:val="24"/>
              </w:rPr>
              <w:t>Clean Water Act</w:t>
            </w:r>
          </w:p>
        </w:tc>
      </w:tr>
      <w:tr>
        <w:trPr>
          <w:trHeight w:val="356" w:hRule="atLeast"/>
        </w:trPr>
        <w:tc>
          <w:tcPr>
            <w:tcW w:w="2404" w:type="dxa"/>
          </w:tcPr>
          <w:p>
            <w:pPr>
              <w:pStyle w:val="TableParagraph"/>
              <w:spacing w:before="41"/>
              <w:ind w:left="191" w:right="184"/>
              <w:rPr>
                <w:sz w:val="24"/>
              </w:rPr>
            </w:pPr>
            <w:r>
              <w:rPr>
                <w:sz w:val="24"/>
              </w:rPr>
              <w:t>CWC</w:t>
            </w:r>
          </w:p>
        </w:tc>
        <w:tc>
          <w:tcPr>
            <w:tcW w:w="6947" w:type="dxa"/>
          </w:tcPr>
          <w:p>
            <w:pPr>
              <w:pStyle w:val="TableParagraph"/>
              <w:spacing w:before="41"/>
              <w:ind w:left="217" w:right="209"/>
              <w:rPr>
                <w:sz w:val="24"/>
              </w:rPr>
            </w:pPr>
            <w:r>
              <w:rPr>
                <w:sz w:val="24"/>
              </w:rPr>
              <w:t>California Water Code</w:t>
            </w:r>
          </w:p>
        </w:tc>
      </w:tr>
      <w:tr>
        <w:trPr>
          <w:trHeight w:val="355" w:hRule="atLeast"/>
        </w:trPr>
        <w:tc>
          <w:tcPr>
            <w:tcW w:w="2404" w:type="dxa"/>
          </w:tcPr>
          <w:p>
            <w:pPr>
              <w:pStyle w:val="TableParagraph"/>
              <w:spacing w:before="41"/>
              <w:ind w:left="192" w:right="184"/>
              <w:rPr>
                <w:sz w:val="24"/>
              </w:rPr>
            </w:pPr>
            <w:r>
              <w:rPr>
                <w:sz w:val="24"/>
              </w:rPr>
              <w:t>DDT</w:t>
            </w:r>
          </w:p>
        </w:tc>
        <w:tc>
          <w:tcPr>
            <w:tcW w:w="6947" w:type="dxa"/>
          </w:tcPr>
          <w:p>
            <w:pPr>
              <w:pStyle w:val="TableParagraph"/>
              <w:spacing w:before="41"/>
              <w:ind w:left="215" w:right="210"/>
              <w:rPr>
                <w:sz w:val="24"/>
              </w:rPr>
            </w:pPr>
            <w:r>
              <w:rPr>
                <w:sz w:val="24"/>
              </w:rPr>
              <w:t>Dichlorodiphenyltrichloroethane</w:t>
            </w:r>
          </w:p>
        </w:tc>
      </w:tr>
      <w:tr>
        <w:trPr>
          <w:trHeight w:val="356" w:hRule="atLeast"/>
        </w:trPr>
        <w:tc>
          <w:tcPr>
            <w:tcW w:w="2404" w:type="dxa"/>
          </w:tcPr>
          <w:p>
            <w:pPr>
              <w:pStyle w:val="TableParagraph"/>
              <w:spacing w:before="41"/>
              <w:ind w:left="192" w:right="184"/>
              <w:rPr>
                <w:sz w:val="24"/>
              </w:rPr>
            </w:pPr>
            <w:r>
              <w:rPr>
                <w:sz w:val="24"/>
              </w:rPr>
              <w:t>DNQ</w:t>
            </w:r>
          </w:p>
        </w:tc>
        <w:tc>
          <w:tcPr>
            <w:tcW w:w="6947" w:type="dxa"/>
          </w:tcPr>
          <w:p>
            <w:pPr>
              <w:pStyle w:val="TableParagraph"/>
              <w:spacing w:before="41"/>
              <w:ind w:left="217" w:right="210"/>
              <w:rPr>
                <w:sz w:val="24"/>
              </w:rPr>
            </w:pPr>
            <w:r>
              <w:rPr>
                <w:sz w:val="24"/>
              </w:rPr>
              <w:t>Detected, But Not Quantified</w:t>
            </w:r>
          </w:p>
        </w:tc>
      </w:tr>
      <w:tr>
        <w:trPr>
          <w:trHeight w:val="356" w:hRule="atLeast"/>
        </w:trPr>
        <w:tc>
          <w:tcPr>
            <w:tcW w:w="2404" w:type="dxa"/>
          </w:tcPr>
          <w:p>
            <w:pPr>
              <w:pStyle w:val="TableParagraph"/>
              <w:spacing w:before="41"/>
              <w:ind w:left="874"/>
              <w:jc w:val="left"/>
              <w:rPr>
                <w:i/>
                <w:sz w:val="24"/>
              </w:rPr>
            </w:pPr>
            <w:r>
              <w:rPr>
                <w:i/>
                <w:sz w:val="24"/>
              </w:rPr>
              <w:t>E. coli</w:t>
            </w:r>
          </w:p>
        </w:tc>
        <w:tc>
          <w:tcPr>
            <w:tcW w:w="6947" w:type="dxa"/>
          </w:tcPr>
          <w:p>
            <w:pPr>
              <w:pStyle w:val="TableParagraph"/>
              <w:spacing w:before="41"/>
              <w:ind w:left="217" w:right="210"/>
              <w:rPr>
                <w:i/>
                <w:sz w:val="24"/>
              </w:rPr>
            </w:pPr>
            <w:r>
              <w:rPr>
                <w:i/>
                <w:sz w:val="24"/>
              </w:rPr>
              <w:t>Escherichia coli</w:t>
            </w:r>
          </w:p>
        </w:tc>
      </w:tr>
      <w:tr>
        <w:trPr>
          <w:trHeight w:val="356" w:hRule="atLeast"/>
        </w:trPr>
        <w:tc>
          <w:tcPr>
            <w:tcW w:w="2404" w:type="dxa"/>
          </w:tcPr>
          <w:p>
            <w:pPr>
              <w:pStyle w:val="TableParagraph"/>
              <w:spacing w:before="41"/>
              <w:ind w:left="191" w:right="184"/>
              <w:rPr>
                <w:sz w:val="24"/>
              </w:rPr>
            </w:pPr>
            <w:r>
              <w:rPr>
                <w:sz w:val="24"/>
              </w:rPr>
              <w:t>EFT</w:t>
            </w:r>
          </w:p>
        </w:tc>
        <w:tc>
          <w:tcPr>
            <w:tcW w:w="6947" w:type="dxa"/>
          </w:tcPr>
          <w:p>
            <w:pPr>
              <w:pStyle w:val="TableParagraph"/>
              <w:spacing w:before="41"/>
              <w:ind w:left="217" w:right="207"/>
              <w:rPr>
                <w:sz w:val="24"/>
              </w:rPr>
            </w:pPr>
            <w:r>
              <w:rPr>
                <w:sz w:val="24"/>
              </w:rPr>
              <w:t>Electronic Funds Transfer</w:t>
            </w:r>
          </w:p>
        </w:tc>
      </w:tr>
      <w:tr>
        <w:trPr>
          <w:trHeight w:val="356" w:hRule="atLeast"/>
        </w:trPr>
        <w:tc>
          <w:tcPr>
            <w:tcW w:w="2404" w:type="dxa"/>
          </w:tcPr>
          <w:p>
            <w:pPr>
              <w:pStyle w:val="TableParagraph"/>
              <w:spacing w:before="41"/>
              <w:ind w:left="191" w:right="184"/>
              <w:rPr>
                <w:sz w:val="24"/>
              </w:rPr>
            </w:pPr>
            <w:r>
              <w:rPr>
                <w:sz w:val="24"/>
              </w:rPr>
              <w:t>EST</w:t>
            </w:r>
          </w:p>
        </w:tc>
        <w:tc>
          <w:tcPr>
            <w:tcW w:w="6947" w:type="dxa"/>
          </w:tcPr>
          <w:p>
            <w:pPr>
              <w:pStyle w:val="TableParagraph"/>
              <w:spacing w:before="41"/>
              <w:ind w:left="215" w:right="210"/>
              <w:rPr>
                <w:sz w:val="24"/>
              </w:rPr>
            </w:pPr>
            <w:r>
              <w:rPr>
                <w:sz w:val="24"/>
              </w:rPr>
              <w:t>Estuarine Habitat</w:t>
            </w:r>
          </w:p>
        </w:tc>
      </w:tr>
      <w:tr>
        <w:trPr>
          <w:trHeight w:val="355" w:hRule="atLeast"/>
        </w:trPr>
        <w:tc>
          <w:tcPr>
            <w:tcW w:w="2404" w:type="dxa"/>
          </w:tcPr>
          <w:p>
            <w:pPr>
              <w:pStyle w:val="TableParagraph"/>
              <w:spacing w:before="41"/>
              <w:ind w:left="191" w:right="184"/>
              <w:rPr>
                <w:sz w:val="24"/>
              </w:rPr>
            </w:pPr>
            <w:r>
              <w:rPr>
                <w:sz w:val="24"/>
              </w:rPr>
              <w:t>FEMA</w:t>
            </w:r>
          </w:p>
        </w:tc>
        <w:tc>
          <w:tcPr>
            <w:tcW w:w="6947" w:type="dxa"/>
          </w:tcPr>
          <w:p>
            <w:pPr>
              <w:pStyle w:val="TableParagraph"/>
              <w:spacing w:before="41"/>
              <w:ind w:left="217" w:right="207"/>
              <w:rPr>
                <w:sz w:val="24"/>
              </w:rPr>
            </w:pPr>
            <w:r>
              <w:rPr>
                <w:sz w:val="24"/>
              </w:rPr>
              <w:t>Federal Emergency Management Agency</w:t>
            </w:r>
          </w:p>
        </w:tc>
      </w:tr>
      <w:tr>
        <w:trPr>
          <w:trHeight w:val="356" w:hRule="atLeast"/>
        </w:trPr>
        <w:tc>
          <w:tcPr>
            <w:tcW w:w="2404" w:type="dxa"/>
          </w:tcPr>
          <w:p>
            <w:pPr>
              <w:pStyle w:val="TableParagraph"/>
              <w:spacing w:before="41"/>
              <w:ind w:left="192" w:right="184"/>
              <w:rPr>
                <w:sz w:val="24"/>
              </w:rPr>
            </w:pPr>
            <w:r>
              <w:rPr>
                <w:sz w:val="24"/>
              </w:rPr>
              <w:t>HUC</w:t>
            </w:r>
          </w:p>
        </w:tc>
        <w:tc>
          <w:tcPr>
            <w:tcW w:w="6947" w:type="dxa"/>
          </w:tcPr>
          <w:p>
            <w:pPr>
              <w:pStyle w:val="TableParagraph"/>
              <w:spacing w:before="41"/>
              <w:ind w:left="217" w:right="210"/>
              <w:rPr>
                <w:sz w:val="24"/>
              </w:rPr>
            </w:pPr>
            <w:r>
              <w:rPr>
                <w:sz w:val="24"/>
              </w:rPr>
              <w:t>Hydrologic Unit Code</w:t>
            </w:r>
          </w:p>
        </w:tc>
      </w:tr>
      <w:tr>
        <w:trPr>
          <w:trHeight w:val="355" w:hRule="atLeast"/>
        </w:trPr>
        <w:tc>
          <w:tcPr>
            <w:tcW w:w="2404" w:type="dxa"/>
          </w:tcPr>
          <w:p>
            <w:pPr>
              <w:pStyle w:val="TableParagraph"/>
              <w:spacing w:before="41"/>
              <w:ind w:left="192" w:right="184"/>
              <w:rPr>
                <w:sz w:val="24"/>
              </w:rPr>
            </w:pPr>
            <w:r>
              <w:rPr>
                <w:sz w:val="24"/>
              </w:rPr>
              <w:t>IND</w:t>
            </w:r>
          </w:p>
        </w:tc>
        <w:tc>
          <w:tcPr>
            <w:tcW w:w="6947" w:type="dxa"/>
          </w:tcPr>
          <w:p>
            <w:pPr>
              <w:pStyle w:val="TableParagraph"/>
              <w:spacing w:before="41"/>
              <w:ind w:left="217" w:right="210"/>
              <w:rPr>
                <w:sz w:val="24"/>
              </w:rPr>
            </w:pPr>
            <w:r>
              <w:rPr>
                <w:sz w:val="24"/>
              </w:rPr>
              <w:t>Industrial Service Supply</w:t>
            </w:r>
          </w:p>
        </w:tc>
      </w:tr>
      <w:tr>
        <w:trPr>
          <w:trHeight w:val="356" w:hRule="atLeast"/>
        </w:trPr>
        <w:tc>
          <w:tcPr>
            <w:tcW w:w="2404" w:type="dxa"/>
          </w:tcPr>
          <w:p>
            <w:pPr>
              <w:pStyle w:val="TableParagraph"/>
              <w:spacing w:before="41"/>
              <w:ind w:left="191" w:right="184"/>
              <w:rPr>
                <w:sz w:val="24"/>
              </w:rPr>
            </w:pPr>
            <w:r>
              <w:rPr>
                <w:sz w:val="24"/>
              </w:rPr>
              <w:t>LACFCD</w:t>
            </w:r>
          </w:p>
        </w:tc>
        <w:tc>
          <w:tcPr>
            <w:tcW w:w="6947" w:type="dxa"/>
          </w:tcPr>
          <w:p>
            <w:pPr>
              <w:pStyle w:val="TableParagraph"/>
              <w:spacing w:before="41"/>
              <w:ind w:left="217" w:right="210"/>
              <w:rPr>
                <w:sz w:val="24"/>
              </w:rPr>
            </w:pPr>
            <w:r>
              <w:rPr>
                <w:sz w:val="24"/>
              </w:rPr>
              <w:t>Los Angeles County Flood Control District</w:t>
            </w:r>
          </w:p>
        </w:tc>
      </w:tr>
      <w:tr>
        <w:trPr>
          <w:trHeight w:val="355" w:hRule="atLeast"/>
        </w:trPr>
        <w:tc>
          <w:tcPr>
            <w:tcW w:w="2404" w:type="dxa"/>
          </w:tcPr>
          <w:p>
            <w:pPr>
              <w:pStyle w:val="TableParagraph"/>
              <w:spacing w:before="41"/>
              <w:ind w:left="191" w:right="184"/>
              <w:rPr>
                <w:sz w:val="24"/>
              </w:rPr>
            </w:pPr>
            <w:r>
              <w:rPr>
                <w:sz w:val="24"/>
              </w:rPr>
              <w:t>LAs</w:t>
            </w:r>
          </w:p>
        </w:tc>
        <w:tc>
          <w:tcPr>
            <w:tcW w:w="6947" w:type="dxa"/>
          </w:tcPr>
          <w:p>
            <w:pPr>
              <w:pStyle w:val="TableParagraph"/>
              <w:spacing w:before="41"/>
              <w:ind w:left="215" w:right="210"/>
              <w:rPr>
                <w:sz w:val="24"/>
              </w:rPr>
            </w:pPr>
            <w:r>
              <w:rPr>
                <w:sz w:val="24"/>
              </w:rPr>
              <w:t>Load Allocations</w:t>
            </w:r>
          </w:p>
        </w:tc>
      </w:tr>
    </w:tbl>
    <w:p>
      <w:pPr>
        <w:spacing w:after="0"/>
        <w:rPr>
          <w:sz w:val="24"/>
        </w:rPr>
        <w:sectPr>
          <w:headerReference w:type="default" r:id="rId10"/>
          <w:footerReference w:type="default" r:id="rId11"/>
          <w:pgSz w:w="12240" w:h="15840"/>
          <w:pgMar w:header="728" w:footer="788" w:top="1540" w:bottom="980" w:left="1160" w:right="420"/>
          <w:pgNumType w:start="1"/>
        </w:sectPr>
      </w:pPr>
    </w:p>
    <w:p>
      <w:pPr>
        <w:pStyle w:val="BodyText"/>
        <w:spacing w:before="11"/>
        <w:rPr>
          <w:b/>
          <w:sz w:val="23"/>
        </w:rPr>
      </w:pPr>
    </w:p>
    <w:tbl>
      <w:tblPr>
        <w:tblW w:w="0" w:type="auto"/>
        <w:jc w:val="left"/>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04"/>
        <w:gridCol w:w="6947"/>
      </w:tblGrid>
      <w:tr>
        <w:trPr>
          <w:trHeight w:val="436" w:hRule="atLeast"/>
        </w:trPr>
        <w:tc>
          <w:tcPr>
            <w:tcW w:w="2404" w:type="dxa"/>
            <w:shd w:val="clear" w:color="auto" w:fill="D9D9D9"/>
          </w:tcPr>
          <w:p>
            <w:pPr>
              <w:pStyle w:val="TableParagraph"/>
              <w:spacing w:before="80"/>
              <w:ind w:left="192" w:right="184"/>
              <w:rPr>
                <w:b/>
                <w:sz w:val="24"/>
              </w:rPr>
            </w:pPr>
            <w:r>
              <w:rPr>
                <w:b/>
                <w:sz w:val="24"/>
              </w:rPr>
              <w:t>Acronym</w:t>
            </w:r>
          </w:p>
        </w:tc>
        <w:tc>
          <w:tcPr>
            <w:tcW w:w="6947" w:type="dxa"/>
            <w:shd w:val="clear" w:color="auto" w:fill="D9D9D9"/>
          </w:tcPr>
          <w:p>
            <w:pPr>
              <w:pStyle w:val="TableParagraph"/>
              <w:spacing w:before="80"/>
              <w:ind w:left="217" w:right="209"/>
              <w:rPr>
                <w:b/>
                <w:sz w:val="24"/>
              </w:rPr>
            </w:pPr>
            <w:r>
              <w:rPr>
                <w:b/>
                <w:sz w:val="24"/>
              </w:rPr>
              <w:t>Definition</w:t>
            </w:r>
          </w:p>
        </w:tc>
      </w:tr>
      <w:tr>
        <w:trPr>
          <w:trHeight w:val="355" w:hRule="atLeast"/>
        </w:trPr>
        <w:tc>
          <w:tcPr>
            <w:tcW w:w="2404" w:type="dxa"/>
          </w:tcPr>
          <w:p>
            <w:pPr>
              <w:pStyle w:val="TableParagraph"/>
              <w:spacing w:before="41"/>
              <w:ind w:left="192" w:right="184"/>
              <w:rPr>
                <w:sz w:val="24"/>
              </w:rPr>
            </w:pPr>
            <w:r>
              <w:rPr>
                <w:sz w:val="24"/>
              </w:rPr>
              <w:t>LID</w:t>
            </w:r>
          </w:p>
        </w:tc>
        <w:tc>
          <w:tcPr>
            <w:tcW w:w="6947" w:type="dxa"/>
          </w:tcPr>
          <w:p>
            <w:pPr>
              <w:pStyle w:val="TableParagraph"/>
              <w:spacing w:before="41"/>
              <w:ind w:left="217" w:right="209"/>
              <w:rPr>
                <w:sz w:val="24"/>
              </w:rPr>
            </w:pPr>
            <w:r>
              <w:rPr>
                <w:sz w:val="24"/>
              </w:rPr>
              <w:t>Low Impact Development</w:t>
            </w:r>
          </w:p>
        </w:tc>
      </w:tr>
      <w:tr>
        <w:trPr>
          <w:trHeight w:val="631" w:hRule="atLeast"/>
        </w:trPr>
        <w:tc>
          <w:tcPr>
            <w:tcW w:w="2404" w:type="dxa"/>
          </w:tcPr>
          <w:p>
            <w:pPr>
              <w:pStyle w:val="TableParagraph"/>
              <w:spacing w:before="40"/>
              <w:ind w:left="880" w:right="160" w:hanging="694"/>
              <w:jc w:val="left"/>
              <w:rPr>
                <w:sz w:val="24"/>
              </w:rPr>
            </w:pPr>
            <w:r>
              <w:rPr>
                <w:sz w:val="24"/>
              </w:rPr>
              <w:t>Los Angeles Water Board</w:t>
            </w:r>
          </w:p>
        </w:tc>
        <w:tc>
          <w:tcPr>
            <w:tcW w:w="6947" w:type="dxa"/>
          </w:tcPr>
          <w:p>
            <w:pPr>
              <w:pStyle w:val="TableParagraph"/>
              <w:spacing w:before="40"/>
              <w:ind w:left="3091" w:right="170" w:hanging="2894"/>
              <w:jc w:val="left"/>
              <w:rPr>
                <w:sz w:val="24"/>
              </w:rPr>
            </w:pPr>
            <w:r>
              <w:rPr>
                <w:sz w:val="24"/>
              </w:rPr>
              <w:t>California Regional Water Quality Control Board, Los Angeles Region</w:t>
            </w:r>
          </w:p>
        </w:tc>
      </w:tr>
      <w:tr>
        <w:trPr>
          <w:trHeight w:val="354" w:hRule="atLeast"/>
        </w:trPr>
        <w:tc>
          <w:tcPr>
            <w:tcW w:w="2404" w:type="dxa"/>
          </w:tcPr>
          <w:p>
            <w:pPr>
              <w:pStyle w:val="TableParagraph"/>
              <w:spacing w:before="41"/>
              <w:ind w:left="192" w:right="184"/>
              <w:rPr>
                <w:sz w:val="24"/>
              </w:rPr>
            </w:pPr>
            <w:r>
              <w:rPr>
                <w:sz w:val="24"/>
              </w:rPr>
              <w:t>LRP</w:t>
            </w:r>
          </w:p>
        </w:tc>
        <w:tc>
          <w:tcPr>
            <w:tcW w:w="6947" w:type="dxa"/>
          </w:tcPr>
          <w:p>
            <w:pPr>
              <w:pStyle w:val="TableParagraph"/>
              <w:spacing w:before="41"/>
              <w:ind w:left="216" w:right="210"/>
              <w:rPr>
                <w:sz w:val="24"/>
              </w:rPr>
            </w:pPr>
            <w:r>
              <w:rPr>
                <w:sz w:val="24"/>
              </w:rPr>
              <w:t>Legally Responsible Person</w:t>
            </w:r>
          </w:p>
        </w:tc>
      </w:tr>
      <w:tr>
        <w:trPr>
          <w:trHeight w:val="355" w:hRule="atLeast"/>
        </w:trPr>
        <w:tc>
          <w:tcPr>
            <w:tcW w:w="2404" w:type="dxa"/>
          </w:tcPr>
          <w:p>
            <w:pPr>
              <w:pStyle w:val="TableParagraph"/>
              <w:spacing w:before="42"/>
              <w:ind w:left="192" w:right="184"/>
              <w:rPr>
                <w:sz w:val="24"/>
              </w:rPr>
            </w:pPr>
            <w:r>
              <w:rPr>
                <w:sz w:val="24"/>
              </w:rPr>
              <w:t>MAR</w:t>
            </w:r>
          </w:p>
        </w:tc>
        <w:tc>
          <w:tcPr>
            <w:tcW w:w="6947" w:type="dxa"/>
          </w:tcPr>
          <w:p>
            <w:pPr>
              <w:pStyle w:val="TableParagraph"/>
              <w:spacing w:before="42"/>
              <w:ind w:left="217" w:right="209"/>
              <w:rPr>
                <w:sz w:val="24"/>
              </w:rPr>
            </w:pPr>
            <w:r>
              <w:rPr>
                <w:sz w:val="24"/>
              </w:rPr>
              <w:t>Marine Habitat</w:t>
            </w:r>
          </w:p>
        </w:tc>
      </w:tr>
      <w:tr>
        <w:trPr>
          <w:trHeight w:val="355" w:hRule="atLeast"/>
        </w:trPr>
        <w:tc>
          <w:tcPr>
            <w:tcW w:w="2404" w:type="dxa"/>
          </w:tcPr>
          <w:p>
            <w:pPr>
              <w:pStyle w:val="TableParagraph"/>
              <w:spacing w:before="42"/>
              <w:ind w:left="192" w:right="184"/>
              <w:rPr>
                <w:sz w:val="24"/>
              </w:rPr>
            </w:pPr>
            <w:r>
              <w:rPr>
                <w:sz w:val="24"/>
              </w:rPr>
              <w:t>MCL</w:t>
            </w:r>
          </w:p>
        </w:tc>
        <w:tc>
          <w:tcPr>
            <w:tcW w:w="6947" w:type="dxa"/>
          </w:tcPr>
          <w:p>
            <w:pPr>
              <w:pStyle w:val="TableParagraph"/>
              <w:spacing w:before="42"/>
              <w:ind w:left="217" w:right="209"/>
              <w:rPr>
                <w:sz w:val="24"/>
              </w:rPr>
            </w:pPr>
            <w:r>
              <w:rPr>
                <w:sz w:val="24"/>
              </w:rPr>
              <w:t>Maximum Contaminant Level</w:t>
            </w:r>
          </w:p>
        </w:tc>
      </w:tr>
      <w:tr>
        <w:trPr>
          <w:trHeight w:val="355" w:hRule="atLeast"/>
        </w:trPr>
        <w:tc>
          <w:tcPr>
            <w:tcW w:w="2404" w:type="dxa"/>
          </w:tcPr>
          <w:p>
            <w:pPr>
              <w:pStyle w:val="TableParagraph"/>
              <w:spacing w:before="42"/>
              <w:ind w:left="192" w:right="184"/>
              <w:rPr>
                <w:sz w:val="24"/>
              </w:rPr>
            </w:pPr>
            <w:r>
              <w:rPr>
                <w:sz w:val="24"/>
              </w:rPr>
              <w:t>MDL</w:t>
            </w:r>
          </w:p>
        </w:tc>
        <w:tc>
          <w:tcPr>
            <w:tcW w:w="6947" w:type="dxa"/>
          </w:tcPr>
          <w:p>
            <w:pPr>
              <w:pStyle w:val="TableParagraph"/>
              <w:spacing w:before="42"/>
              <w:ind w:left="217" w:right="210"/>
              <w:rPr>
                <w:sz w:val="24"/>
              </w:rPr>
            </w:pPr>
            <w:r>
              <w:rPr>
                <w:sz w:val="24"/>
              </w:rPr>
              <w:t>Method Detection Limit</w:t>
            </w:r>
          </w:p>
        </w:tc>
      </w:tr>
      <w:tr>
        <w:trPr>
          <w:trHeight w:val="356" w:hRule="atLeast"/>
        </w:trPr>
        <w:tc>
          <w:tcPr>
            <w:tcW w:w="2404" w:type="dxa"/>
          </w:tcPr>
          <w:p>
            <w:pPr>
              <w:pStyle w:val="TableParagraph"/>
              <w:spacing w:before="42"/>
              <w:ind w:left="192" w:right="184"/>
              <w:rPr>
                <w:sz w:val="24"/>
              </w:rPr>
            </w:pPr>
            <w:r>
              <w:rPr>
                <w:sz w:val="24"/>
              </w:rPr>
              <w:t>mg/L</w:t>
            </w:r>
          </w:p>
        </w:tc>
        <w:tc>
          <w:tcPr>
            <w:tcW w:w="6947" w:type="dxa"/>
          </w:tcPr>
          <w:p>
            <w:pPr>
              <w:pStyle w:val="TableParagraph"/>
              <w:spacing w:before="42"/>
              <w:ind w:left="217" w:right="209"/>
              <w:rPr>
                <w:sz w:val="24"/>
              </w:rPr>
            </w:pPr>
            <w:r>
              <w:rPr>
                <w:sz w:val="24"/>
              </w:rPr>
              <w:t>Milligram per Liter</w:t>
            </w:r>
          </w:p>
        </w:tc>
      </w:tr>
      <w:tr>
        <w:trPr>
          <w:trHeight w:val="355" w:hRule="atLeast"/>
        </w:trPr>
        <w:tc>
          <w:tcPr>
            <w:tcW w:w="2404" w:type="dxa"/>
          </w:tcPr>
          <w:p>
            <w:pPr>
              <w:pStyle w:val="TableParagraph"/>
              <w:spacing w:before="42"/>
              <w:ind w:left="192" w:right="184"/>
              <w:rPr>
                <w:sz w:val="24"/>
              </w:rPr>
            </w:pPr>
            <w:r>
              <w:rPr>
                <w:sz w:val="24"/>
              </w:rPr>
              <w:t>MIGR</w:t>
            </w:r>
          </w:p>
        </w:tc>
        <w:tc>
          <w:tcPr>
            <w:tcW w:w="6947" w:type="dxa"/>
          </w:tcPr>
          <w:p>
            <w:pPr>
              <w:pStyle w:val="TableParagraph"/>
              <w:spacing w:before="42"/>
              <w:ind w:left="217" w:right="208"/>
              <w:rPr>
                <w:sz w:val="24"/>
              </w:rPr>
            </w:pPr>
            <w:r>
              <w:rPr>
                <w:sz w:val="24"/>
              </w:rPr>
              <w:t>Migration of Aquatic Organisms</w:t>
            </w:r>
          </w:p>
        </w:tc>
      </w:tr>
      <w:tr>
        <w:trPr>
          <w:trHeight w:val="356" w:hRule="atLeast"/>
        </w:trPr>
        <w:tc>
          <w:tcPr>
            <w:tcW w:w="2404" w:type="dxa"/>
          </w:tcPr>
          <w:p>
            <w:pPr>
              <w:pStyle w:val="TableParagraph"/>
              <w:spacing w:before="42"/>
              <w:ind w:left="191" w:right="184"/>
              <w:rPr>
                <w:sz w:val="24"/>
              </w:rPr>
            </w:pPr>
            <w:r>
              <w:rPr>
                <w:sz w:val="24"/>
              </w:rPr>
              <w:t>ML</w:t>
            </w:r>
          </w:p>
        </w:tc>
        <w:tc>
          <w:tcPr>
            <w:tcW w:w="6947" w:type="dxa"/>
          </w:tcPr>
          <w:p>
            <w:pPr>
              <w:pStyle w:val="TableParagraph"/>
              <w:spacing w:before="42"/>
              <w:ind w:left="217" w:right="209"/>
              <w:rPr>
                <w:sz w:val="24"/>
              </w:rPr>
            </w:pPr>
            <w:r>
              <w:rPr>
                <w:sz w:val="24"/>
              </w:rPr>
              <w:t>Minimum Level</w:t>
            </w:r>
          </w:p>
        </w:tc>
      </w:tr>
      <w:tr>
        <w:trPr>
          <w:trHeight w:val="356" w:hRule="atLeast"/>
        </w:trPr>
        <w:tc>
          <w:tcPr>
            <w:tcW w:w="2404" w:type="dxa"/>
          </w:tcPr>
          <w:p>
            <w:pPr>
              <w:pStyle w:val="TableParagraph"/>
              <w:spacing w:before="42"/>
              <w:ind w:left="191" w:right="184"/>
              <w:rPr>
                <w:sz w:val="24"/>
              </w:rPr>
            </w:pPr>
            <w:r>
              <w:rPr>
                <w:sz w:val="24"/>
              </w:rPr>
              <w:t>mL</w:t>
            </w:r>
          </w:p>
        </w:tc>
        <w:tc>
          <w:tcPr>
            <w:tcW w:w="6947" w:type="dxa"/>
          </w:tcPr>
          <w:p>
            <w:pPr>
              <w:pStyle w:val="TableParagraph"/>
              <w:spacing w:before="42"/>
              <w:ind w:left="216" w:right="210"/>
              <w:rPr>
                <w:sz w:val="24"/>
              </w:rPr>
            </w:pPr>
            <w:r>
              <w:rPr>
                <w:sz w:val="24"/>
              </w:rPr>
              <w:t>Milliliter</w:t>
            </w:r>
          </w:p>
        </w:tc>
      </w:tr>
      <w:tr>
        <w:trPr>
          <w:trHeight w:val="355" w:hRule="atLeast"/>
        </w:trPr>
        <w:tc>
          <w:tcPr>
            <w:tcW w:w="2404" w:type="dxa"/>
          </w:tcPr>
          <w:p>
            <w:pPr>
              <w:pStyle w:val="TableParagraph"/>
              <w:spacing w:before="42"/>
              <w:ind w:left="192" w:right="184"/>
              <w:rPr>
                <w:sz w:val="24"/>
              </w:rPr>
            </w:pPr>
            <w:r>
              <w:rPr>
                <w:sz w:val="24"/>
              </w:rPr>
              <w:t>MPN</w:t>
            </w:r>
          </w:p>
        </w:tc>
        <w:tc>
          <w:tcPr>
            <w:tcW w:w="6947" w:type="dxa"/>
          </w:tcPr>
          <w:p>
            <w:pPr>
              <w:pStyle w:val="TableParagraph"/>
              <w:spacing w:before="42"/>
              <w:ind w:left="217" w:right="210"/>
              <w:rPr>
                <w:sz w:val="24"/>
              </w:rPr>
            </w:pPr>
            <w:r>
              <w:rPr>
                <w:sz w:val="24"/>
              </w:rPr>
              <w:t>Most Probable Number</w:t>
            </w:r>
          </w:p>
        </w:tc>
      </w:tr>
      <w:tr>
        <w:trPr>
          <w:trHeight w:val="355" w:hRule="atLeast"/>
        </w:trPr>
        <w:tc>
          <w:tcPr>
            <w:tcW w:w="2404" w:type="dxa"/>
          </w:tcPr>
          <w:p>
            <w:pPr>
              <w:pStyle w:val="TableParagraph"/>
              <w:spacing w:before="42"/>
              <w:ind w:left="192" w:right="184"/>
              <w:rPr>
                <w:sz w:val="24"/>
              </w:rPr>
            </w:pPr>
            <w:r>
              <w:rPr>
                <w:sz w:val="24"/>
              </w:rPr>
              <w:t>MRP</w:t>
            </w:r>
          </w:p>
        </w:tc>
        <w:tc>
          <w:tcPr>
            <w:tcW w:w="6947" w:type="dxa"/>
          </w:tcPr>
          <w:p>
            <w:pPr>
              <w:pStyle w:val="TableParagraph"/>
              <w:spacing w:before="42"/>
              <w:ind w:left="217" w:right="210"/>
              <w:rPr>
                <w:sz w:val="24"/>
              </w:rPr>
            </w:pPr>
            <w:r>
              <w:rPr>
                <w:sz w:val="24"/>
              </w:rPr>
              <w:t>Monitoring and Reporting Program</w:t>
            </w:r>
          </w:p>
        </w:tc>
      </w:tr>
      <w:tr>
        <w:trPr>
          <w:trHeight w:val="356" w:hRule="atLeast"/>
        </w:trPr>
        <w:tc>
          <w:tcPr>
            <w:tcW w:w="2404" w:type="dxa"/>
          </w:tcPr>
          <w:p>
            <w:pPr>
              <w:pStyle w:val="TableParagraph"/>
              <w:spacing w:before="42"/>
              <w:ind w:left="193" w:right="184"/>
              <w:rPr>
                <w:sz w:val="24"/>
              </w:rPr>
            </w:pPr>
            <w:r>
              <w:rPr>
                <w:sz w:val="24"/>
              </w:rPr>
              <w:t>MS4</w:t>
            </w:r>
          </w:p>
        </w:tc>
        <w:tc>
          <w:tcPr>
            <w:tcW w:w="6947" w:type="dxa"/>
          </w:tcPr>
          <w:p>
            <w:pPr>
              <w:pStyle w:val="TableParagraph"/>
              <w:spacing w:before="42"/>
              <w:ind w:left="217" w:right="210"/>
              <w:rPr>
                <w:sz w:val="24"/>
              </w:rPr>
            </w:pPr>
            <w:r>
              <w:rPr>
                <w:sz w:val="24"/>
              </w:rPr>
              <w:t>Municipal Separate Storm Sewer System</w:t>
            </w:r>
          </w:p>
        </w:tc>
      </w:tr>
      <w:tr>
        <w:trPr>
          <w:trHeight w:val="356" w:hRule="atLeast"/>
        </w:trPr>
        <w:tc>
          <w:tcPr>
            <w:tcW w:w="2404" w:type="dxa"/>
          </w:tcPr>
          <w:p>
            <w:pPr>
              <w:pStyle w:val="TableParagraph"/>
              <w:spacing w:before="42"/>
              <w:ind w:left="192" w:right="184"/>
              <w:rPr>
                <w:sz w:val="24"/>
              </w:rPr>
            </w:pPr>
            <w:r>
              <w:rPr>
                <w:sz w:val="24"/>
              </w:rPr>
              <w:t>µS/cm</w:t>
            </w:r>
          </w:p>
        </w:tc>
        <w:tc>
          <w:tcPr>
            <w:tcW w:w="6947" w:type="dxa"/>
          </w:tcPr>
          <w:p>
            <w:pPr>
              <w:pStyle w:val="TableParagraph"/>
              <w:spacing w:before="42"/>
              <w:ind w:left="217" w:right="210"/>
              <w:rPr>
                <w:sz w:val="24"/>
              </w:rPr>
            </w:pPr>
            <w:r>
              <w:rPr>
                <w:sz w:val="24"/>
              </w:rPr>
              <w:t>Microsiemens per Centimeter</w:t>
            </w:r>
          </w:p>
        </w:tc>
      </w:tr>
      <w:tr>
        <w:trPr>
          <w:trHeight w:val="356" w:hRule="atLeast"/>
        </w:trPr>
        <w:tc>
          <w:tcPr>
            <w:tcW w:w="2404" w:type="dxa"/>
          </w:tcPr>
          <w:p>
            <w:pPr>
              <w:pStyle w:val="TableParagraph"/>
              <w:spacing w:before="42"/>
              <w:ind w:left="193" w:right="184"/>
              <w:rPr>
                <w:sz w:val="24"/>
              </w:rPr>
            </w:pPr>
            <w:r>
              <w:rPr>
                <w:sz w:val="24"/>
              </w:rPr>
              <w:t>MUN</w:t>
            </w:r>
          </w:p>
        </w:tc>
        <w:tc>
          <w:tcPr>
            <w:tcW w:w="6947" w:type="dxa"/>
          </w:tcPr>
          <w:p>
            <w:pPr>
              <w:pStyle w:val="TableParagraph"/>
              <w:spacing w:before="42"/>
              <w:ind w:left="215" w:right="210"/>
              <w:rPr>
                <w:sz w:val="24"/>
              </w:rPr>
            </w:pPr>
            <w:r>
              <w:rPr>
                <w:sz w:val="24"/>
              </w:rPr>
              <w:t>Municipal and Domestic Supply</w:t>
            </w:r>
          </w:p>
        </w:tc>
      </w:tr>
      <w:tr>
        <w:trPr>
          <w:trHeight w:val="355" w:hRule="atLeast"/>
        </w:trPr>
        <w:tc>
          <w:tcPr>
            <w:tcW w:w="2404" w:type="dxa"/>
          </w:tcPr>
          <w:p>
            <w:pPr>
              <w:pStyle w:val="TableParagraph"/>
              <w:spacing w:before="42"/>
              <w:ind w:left="192" w:right="184"/>
              <w:rPr>
                <w:sz w:val="24"/>
              </w:rPr>
            </w:pPr>
            <w:r>
              <w:rPr>
                <w:sz w:val="24"/>
              </w:rPr>
              <w:t>NAV</w:t>
            </w:r>
          </w:p>
        </w:tc>
        <w:tc>
          <w:tcPr>
            <w:tcW w:w="6947" w:type="dxa"/>
          </w:tcPr>
          <w:p>
            <w:pPr>
              <w:pStyle w:val="TableParagraph"/>
              <w:spacing w:before="42"/>
              <w:ind w:left="217" w:right="210"/>
              <w:rPr>
                <w:sz w:val="24"/>
              </w:rPr>
            </w:pPr>
            <w:r>
              <w:rPr>
                <w:sz w:val="24"/>
              </w:rPr>
              <w:t>Navigation</w:t>
            </w:r>
          </w:p>
        </w:tc>
      </w:tr>
      <w:tr>
        <w:trPr>
          <w:trHeight w:val="355" w:hRule="atLeast"/>
        </w:trPr>
        <w:tc>
          <w:tcPr>
            <w:tcW w:w="2404" w:type="dxa"/>
          </w:tcPr>
          <w:p>
            <w:pPr>
              <w:pStyle w:val="TableParagraph"/>
              <w:spacing w:before="42"/>
              <w:ind w:left="192" w:right="184"/>
              <w:rPr>
                <w:sz w:val="24"/>
              </w:rPr>
            </w:pPr>
            <w:r>
              <w:rPr>
                <w:sz w:val="24"/>
              </w:rPr>
              <w:t>ND</w:t>
            </w:r>
          </w:p>
        </w:tc>
        <w:tc>
          <w:tcPr>
            <w:tcW w:w="6947" w:type="dxa"/>
          </w:tcPr>
          <w:p>
            <w:pPr>
              <w:pStyle w:val="TableParagraph"/>
              <w:spacing w:before="42"/>
              <w:ind w:left="217" w:right="210"/>
              <w:rPr>
                <w:sz w:val="24"/>
              </w:rPr>
            </w:pPr>
            <w:r>
              <w:rPr>
                <w:sz w:val="24"/>
              </w:rPr>
              <w:t>Not Detected</w:t>
            </w:r>
          </w:p>
        </w:tc>
      </w:tr>
      <w:tr>
        <w:trPr>
          <w:trHeight w:val="356" w:hRule="atLeast"/>
        </w:trPr>
        <w:tc>
          <w:tcPr>
            <w:tcW w:w="2404" w:type="dxa"/>
          </w:tcPr>
          <w:p>
            <w:pPr>
              <w:pStyle w:val="TableParagraph"/>
              <w:spacing w:before="42"/>
              <w:ind w:left="191" w:right="184"/>
              <w:rPr>
                <w:sz w:val="24"/>
              </w:rPr>
            </w:pPr>
            <w:r>
              <w:rPr>
                <w:sz w:val="24"/>
              </w:rPr>
              <w:t>NOI</w:t>
            </w:r>
          </w:p>
        </w:tc>
        <w:tc>
          <w:tcPr>
            <w:tcW w:w="6947" w:type="dxa"/>
          </w:tcPr>
          <w:p>
            <w:pPr>
              <w:pStyle w:val="TableParagraph"/>
              <w:spacing w:before="42"/>
              <w:ind w:left="217" w:right="210"/>
              <w:rPr>
                <w:sz w:val="24"/>
              </w:rPr>
            </w:pPr>
            <w:r>
              <w:rPr>
                <w:sz w:val="24"/>
              </w:rPr>
              <w:t>Notice of Intent</w:t>
            </w:r>
          </w:p>
        </w:tc>
      </w:tr>
      <w:tr>
        <w:trPr>
          <w:trHeight w:val="356" w:hRule="atLeast"/>
        </w:trPr>
        <w:tc>
          <w:tcPr>
            <w:tcW w:w="2404" w:type="dxa"/>
          </w:tcPr>
          <w:p>
            <w:pPr>
              <w:pStyle w:val="TableParagraph"/>
              <w:spacing w:before="42"/>
              <w:ind w:left="191" w:right="184"/>
              <w:rPr>
                <w:sz w:val="24"/>
              </w:rPr>
            </w:pPr>
            <w:r>
              <w:rPr>
                <w:sz w:val="24"/>
              </w:rPr>
              <w:t>NOT</w:t>
            </w:r>
          </w:p>
        </w:tc>
        <w:tc>
          <w:tcPr>
            <w:tcW w:w="6947" w:type="dxa"/>
          </w:tcPr>
          <w:p>
            <w:pPr>
              <w:pStyle w:val="TableParagraph"/>
              <w:spacing w:before="42"/>
              <w:ind w:left="217" w:right="208"/>
              <w:rPr>
                <w:sz w:val="24"/>
              </w:rPr>
            </w:pPr>
            <w:r>
              <w:rPr>
                <w:sz w:val="24"/>
              </w:rPr>
              <w:t>Notice of Termination</w:t>
            </w:r>
          </w:p>
        </w:tc>
      </w:tr>
      <w:tr>
        <w:trPr>
          <w:trHeight w:val="355" w:hRule="atLeast"/>
        </w:trPr>
        <w:tc>
          <w:tcPr>
            <w:tcW w:w="2404" w:type="dxa"/>
          </w:tcPr>
          <w:p>
            <w:pPr>
              <w:pStyle w:val="TableParagraph"/>
              <w:spacing w:before="42"/>
              <w:ind w:left="191" w:right="184"/>
              <w:rPr>
                <w:sz w:val="24"/>
              </w:rPr>
            </w:pPr>
            <w:r>
              <w:rPr>
                <w:sz w:val="24"/>
              </w:rPr>
              <w:t>NPDES</w:t>
            </w:r>
          </w:p>
        </w:tc>
        <w:tc>
          <w:tcPr>
            <w:tcW w:w="6947" w:type="dxa"/>
          </w:tcPr>
          <w:p>
            <w:pPr>
              <w:pStyle w:val="TableParagraph"/>
              <w:spacing w:before="42"/>
              <w:ind w:left="217" w:right="209"/>
              <w:rPr>
                <w:sz w:val="24"/>
              </w:rPr>
            </w:pPr>
            <w:r>
              <w:rPr>
                <w:sz w:val="24"/>
              </w:rPr>
              <w:t>National Pollutant Discharge Elimination System</w:t>
            </w:r>
          </w:p>
        </w:tc>
      </w:tr>
      <w:tr>
        <w:trPr>
          <w:trHeight w:val="356" w:hRule="atLeast"/>
        </w:trPr>
        <w:tc>
          <w:tcPr>
            <w:tcW w:w="2404" w:type="dxa"/>
          </w:tcPr>
          <w:p>
            <w:pPr>
              <w:pStyle w:val="TableParagraph"/>
              <w:spacing w:before="41"/>
              <w:ind w:left="192" w:right="184"/>
              <w:rPr>
                <w:sz w:val="24"/>
              </w:rPr>
            </w:pPr>
            <w:r>
              <w:rPr>
                <w:sz w:val="24"/>
              </w:rPr>
              <w:t>NSWDs</w:t>
            </w:r>
          </w:p>
        </w:tc>
        <w:tc>
          <w:tcPr>
            <w:tcW w:w="6947" w:type="dxa"/>
          </w:tcPr>
          <w:p>
            <w:pPr>
              <w:pStyle w:val="TableParagraph"/>
              <w:spacing w:before="41"/>
              <w:ind w:left="217" w:right="210"/>
              <w:rPr>
                <w:sz w:val="24"/>
              </w:rPr>
            </w:pPr>
            <w:r>
              <w:rPr>
                <w:sz w:val="24"/>
              </w:rPr>
              <w:t>Non-Stormwater Discharges</w:t>
            </w:r>
          </w:p>
        </w:tc>
      </w:tr>
      <w:tr>
        <w:trPr>
          <w:trHeight w:val="356" w:hRule="atLeast"/>
        </w:trPr>
        <w:tc>
          <w:tcPr>
            <w:tcW w:w="2404" w:type="dxa"/>
          </w:tcPr>
          <w:p>
            <w:pPr>
              <w:pStyle w:val="TableParagraph"/>
              <w:spacing w:before="41"/>
              <w:ind w:left="192" w:right="184"/>
              <w:rPr>
                <w:sz w:val="24"/>
              </w:rPr>
            </w:pPr>
            <w:r>
              <w:rPr>
                <w:sz w:val="24"/>
              </w:rPr>
              <w:t>NTR</w:t>
            </w:r>
          </w:p>
        </w:tc>
        <w:tc>
          <w:tcPr>
            <w:tcW w:w="6947" w:type="dxa"/>
          </w:tcPr>
          <w:p>
            <w:pPr>
              <w:pStyle w:val="TableParagraph"/>
              <w:spacing w:before="41"/>
              <w:ind w:left="214" w:right="210"/>
              <w:rPr>
                <w:sz w:val="24"/>
              </w:rPr>
            </w:pPr>
            <w:r>
              <w:rPr>
                <w:sz w:val="24"/>
              </w:rPr>
              <w:t>National Toxics Rule</w:t>
            </w:r>
          </w:p>
        </w:tc>
      </w:tr>
      <w:tr>
        <w:trPr>
          <w:trHeight w:val="355" w:hRule="atLeast"/>
        </w:trPr>
        <w:tc>
          <w:tcPr>
            <w:tcW w:w="2404" w:type="dxa"/>
          </w:tcPr>
          <w:p>
            <w:pPr>
              <w:pStyle w:val="TableParagraph"/>
              <w:spacing w:before="41"/>
              <w:ind w:left="192" w:right="184"/>
              <w:rPr>
                <w:sz w:val="24"/>
              </w:rPr>
            </w:pPr>
            <w:r>
              <w:rPr>
                <w:sz w:val="24"/>
              </w:rPr>
              <w:t>OAL</w:t>
            </w:r>
          </w:p>
        </w:tc>
        <w:tc>
          <w:tcPr>
            <w:tcW w:w="6947" w:type="dxa"/>
          </w:tcPr>
          <w:p>
            <w:pPr>
              <w:pStyle w:val="TableParagraph"/>
              <w:spacing w:before="41"/>
              <w:ind w:left="217" w:right="206"/>
              <w:rPr>
                <w:sz w:val="24"/>
              </w:rPr>
            </w:pPr>
            <w:r>
              <w:rPr>
                <w:sz w:val="24"/>
              </w:rPr>
              <w:t>Office of Administrative Law</w:t>
            </w:r>
          </w:p>
        </w:tc>
      </w:tr>
      <w:tr>
        <w:trPr>
          <w:trHeight w:val="356" w:hRule="atLeast"/>
        </w:trPr>
        <w:tc>
          <w:tcPr>
            <w:tcW w:w="2404" w:type="dxa"/>
          </w:tcPr>
          <w:p>
            <w:pPr>
              <w:pStyle w:val="TableParagraph"/>
              <w:spacing w:before="41"/>
              <w:ind w:left="191" w:right="184"/>
              <w:rPr>
                <w:sz w:val="24"/>
              </w:rPr>
            </w:pPr>
            <w:r>
              <w:rPr>
                <w:sz w:val="24"/>
              </w:rPr>
              <w:t>O&amp;M</w:t>
            </w:r>
          </w:p>
        </w:tc>
        <w:tc>
          <w:tcPr>
            <w:tcW w:w="6947" w:type="dxa"/>
          </w:tcPr>
          <w:p>
            <w:pPr>
              <w:pStyle w:val="TableParagraph"/>
              <w:spacing w:before="41"/>
              <w:ind w:left="217" w:right="208"/>
              <w:rPr>
                <w:sz w:val="24"/>
              </w:rPr>
            </w:pPr>
            <w:r>
              <w:rPr>
                <w:sz w:val="24"/>
              </w:rPr>
              <w:t>Operation and Maintenance</w:t>
            </w:r>
          </w:p>
        </w:tc>
      </w:tr>
      <w:tr>
        <w:trPr>
          <w:trHeight w:val="356" w:hRule="atLeast"/>
        </w:trPr>
        <w:tc>
          <w:tcPr>
            <w:tcW w:w="2404" w:type="dxa"/>
          </w:tcPr>
          <w:p>
            <w:pPr>
              <w:pStyle w:val="TableParagraph"/>
              <w:spacing w:before="41"/>
              <w:ind w:left="192" w:right="184"/>
              <w:rPr>
                <w:sz w:val="24"/>
              </w:rPr>
            </w:pPr>
            <w:r>
              <w:rPr>
                <w:sz w:val="24"/>
              </w:rPr>
              <w:t>PAHs</w:t>
            </w:r>
          </w:p>
        </w:tc>
        <w:tc>
          <w:tcPr>
            <w:tcW w:w="6947" w:type="dxa"/>
          </w:tcPr>
          <w:p>
            <w:pPr>
              <w:pStyle w:val="TableParagraph"/>
              <w:spacing w:before="41"/>
              <w:ind w:left="216" w:right="210"/>
              <w:rPr>
                <w:sz w:val="24"/>
              </w:rPr>
            </w:pPr>
            <w:r>
              <w:rPr>
                <w:sz w:val="24"/>
              </w:rPr>
              <w:t>Polynuclear Aromatic Hydrocarbons</w:t>
            </w:r>
          </w:p>
        </w:tc>
      </w:tr>
      <w:tr>
        <w:trPr>
          <w:trHeight w:val="356" w:hRule="atLeast"/>
        </w:trPr>
        <w:tc>
          <w:tcPr>
            <w:tcW w:w="2404" w:type="dxa"/>
          </w:tcPr>
          <w:p>
            <w:pPr>
              <w:pStyle w:val="TableParagraph"/>
              <w:spacing w:before="41"/>
              <w:ind w:left="192" w:right="184"/>
              <w:rPr>
                <w:sz w:val="24"/>
              </w:rPr>
            </w:pPr>
            <w:r>
              <w:rPr>
                <w:sz w:val="24"/>
              </w:rPr>
              <w:t>PCBs</w:t>
            </w:r>
          </w:p>
        </w:tc>
        <w:tc>
          <w:tcPr>
            <w:tcW w:w="6947" w:type="dxa"/>
          </w:tcPr>
          <w:p>
            <w:pPr>
              <w:pStyle w:val="TableParagraph"/>
              <w:spacing w:before="41"/>
              <w:ind w:left="216" w:right="210"/>
              <w:rPr>
                <w:sz w:val="24"/>
              </w:rPr>
            </w:pPr>
            <w:r>
              <w:rPr>
                <w:sz w:val="24"/>
              </w:rPr>
              <w:t>Polychlorinated Biphenyls</w:t>
            </w:r>
          </w:p>
        </w:tc>
      </w:tr>
      <w:tr>
        <w:trPr>
          <w:trHeight w:val="356" w:hRule="atLeast"/>
        </w:trPr>
        <w:tc>
          <w:tcPr>
            <w:tcW w:w="2404" w:type="dxa"/>
          </w:tcPr>
          <w:p>
            <w:pPr>
              <w:pStyle w:val="TableParagraph"/>
              <w:spacing w:before="41"/>
              <w:ind w:left="191" w:right="184"/>
              <w:rPr>
                <w:sz w:val="24"/>
              </w:rPr>
            </w:pPr>
            <w:r>
              <w:rPr>
                <w:sz w:val="24"/>
              </w:rPr>
              <w:t>POTW</w:t>
            </w:r>
          </w:p>
        </w:tc>
        <w:tc>
          <w:tcPr>
            <w:tcW w:w="6947" w:type="dxa"/>
          </w:tcPr>
          <w:p>
            <w:pPr>
              <w:pStyle w:val="TableParagraph"/>
              <w:spacing w:before="41"/>
              <w:ind w:left="217" w:right="209"/>
              <w:rPr>
                <w:sz w:val="24"/>
              </w:rPr>
            </w:pPr>
            <w:r>
              <w:rPr>
                <w:sz w:val="24"/>
              </w:rPr>
              <w:t>Publicly-Owned Treatment Works</w:t>
            </w:r>
          </w:p>
        </w:tc>
      </w:tr>
      <w:tr>
        <w:trPr>
          <w:trHeight w:val="355" w:hRule="atLeast"/>
        </w:trPr>
        <w:tc>
          <w:tcPr>
            <w:tcW w:w="2404" w:type="dxa"/>
          </w:tcPr>
          <w:p>
            <w:pPr>
              <w:pStyle w:val="TableParagraph"/>
              <w:spacing w:before="41"/>
              <w:ind w:left="192" w:right="184"/>
              <w:rPr>
                <w:sz w:val="24"/>
              </w:rPr>
            </w:pPr>
            <w:r>
              <w:rPr>
                <w:sz w:val="24"/>
              </w:rPr>
              <w:t>ppth</w:t>
            </w:r>
          </w:p>
        </w:tc>
        <w:tc>
          <w:tcPr>
            <w:tcW w:w="6947" w:type="dxa"/>
          </w:tcPr>
          <w:p>
            <w:pPr>
              <w:pStyle w:val="TableParagraph"/>
              <w:spacing w:before="41"/>
              <w:ind w:left="217" w:right="210"/>
              <w:rPr>
                <w:sz w:val="24"/>
              </w:rPr>
            </w:pPr>
            <w:r>
              <w:rPr>
                <w:sz w:val="24"/>
              </w:rPr>
              <w:t>Parts per Thousand</w:t>
            </w:r>
          </w:p>
        </w:tc>
      </w:tr>
      <w:tr>
        <w:trPr>
          <w:trHeight w:val="356" w:hRule="atLeast"/>
        </w:trPr>
        <w:tc>
          <w:tcPr>
            <w:tcW w:w="2404" w:type="dxa"/>
          </w:tcPr>
          <w:p>
            <w:pPr>
              <w:pStyle w:val="TableParagraph"/>
              <w:spacing w:before="41"/>
              <w:ind w:left="192" w:right="184"/>
              <w:rPr>
                <w:sz w:val="24"/>
              </w:rPr>
            </w:pPr>
            <w:r>
              <w:rPr>
                <w:sz w:val="24"/>
              </w:rPr>
              <w:t>QSE</w:t>
            </w:r>
          </w:p>
        </w:tc>
        <w:tc>
          <w:tcPr>
            <w:tcW w:w="6947" w:type="dxa"/>
          </w:tcPr>
          <w:p>
            <w:pPr>
              <w:pStyle w:val="TableParagraph"/>
              <w:spacing w:before="41"/>
              <w:ind w:left="217" w:right="208"/>
              <w:rPr>
                <w:sz w:val="24"/>
              </w:rPr>
            </w:pPr>
            <w:r>
              <w:rPr>
                <w:sz w:val="24"/>
              </w:rPr>
              <w:t>Qualifying Storm Event</w:t>
            </w:r>
          </w:p>
        </w:tc>
      </w:tr>
      <w:tr>
        <w:trPr>
          <w:trHeight w:val="355" w:hRule="atLeast"/>
        </w:trPr>
        <w:tc>
          <w:tcPr>
            <w:tcW w:w="2404" w:type="dxa"/>
          </w:tcPr>
          <w:p>
            <w:pPr>
              <w:pStyle w:val="TableParagraph"/>
              <w:spacing w:before="41"/>
              <w:ind w:left="191" w:right="184"/>
              <w:rPr>
                <w:sz w:val="24"/>
              </w:rPr>
            </w:pPr>
            <w:r>
              <w:rPr>
                <w:sz w:val="24"/>
              </w:rPr>
              <w:t>RARE</w:t>
            </w:r>
          </w:p>
        </w:tc>
        <w:tc>
          <w:tcPr>
            <w:tcW w:w="6947" w:type="dxa"/>
          </w:tcPr>
          <w:p>
            <w:pPr>
              <w:pStyle w:val="TableParagraph"/>
              <w:spacing w:before="41"/>
              <w:ind w:left="215" w:right="210"/>
              <w:rPr>
                <w:sz w:val="24"/>
              </w:rPr>
            </w:pPr>
            <w:r>
              <w:rPr>
                <w:sz w:val="24"/>
              </w:rPr>
              <w:t>Rare, Threatened, or Endangered Species</w:t>
            </w:r>
          </w:p>
        </w:tc>
      </w:tr>
      <w:tr>
        <w:trPr>
          <w:trHeight w:val="356" w:hRule="atLeast"/>
        </w:trPr>
        <w:tc>
          <w:tcPr>
            <w:tcW w:w="2404" w:type="dxa"/>
          </w:tcPr>
          <w:p>
            <w:pPr>
              <w:pStyle w:val="TableParagraph"/>
              <w:spacing w:before="41"/>
              <w:ind w:left="191" w:right="184"/>
              <w:rPr>
                <w:sz w:val="24"/>
              </w:rPr>
            </w:pPr>
            <w:r>
              <w:rPr>
                <w:sz w:val="24"/>
              </w:rPr>
              <w:t>REC-1</w:t>
            </w:r>
          </w:p>
        </w:tc>
        <w:tc>
          <w:tcPr>
            <w:tcW w:w="6947" w:type="dxa"/>
          </w:tcPr>
          <w:p>
            <w:pPr>
              <w:pStyle w:val="TableParagraph"/>
              <w:spacing w:before="41"/>
              <w:ind w:left="216" w:right="210"/>
              <w:rPr>
                <w:sz w:val="24"/>
              </w:rPr>
            </w:pPr>
            <w:r>
              <w:rPr>
                <w:sz w:val="24"/>
              </w:rPr>
              <w:t>Contact Water Recreation</w:t>
            </w:r>
          </w:p>
        </w:tc>
      </w:tr>
      <w:tr>
        <w:trPr>
          <w:trHeight w:val="355" w:hRule="atLeast"/>
        </w:trPr>
        <w:tc>
          <w:tcPr>
            <w:tcW w:w="2404" w:type="dxa"/>
          </w:tcPr>
          <w:p>
            <w:pPr>
              <w:pStyle w:val="TableParagraph"/>
              <w:spacing w:before="41"/>
              <w:ind w:left="191" w:right="184"/>
              <w:rPr>
                <w:sz w:val="24"/>
              </w:rPr>
            </w:pPr>
            <w:r>
              <w:rPr>
                <w:sz w:val="24"/>
              </w:rPr>
              <w:t>REC-2</w:t>
            </w:r>
          </w:p>
        </w:tc>
        <w:tc>
          <w:tcPr>
            <w:tcW w:w="6947" w:type="dxa"/>
          </w:tcPr>
          <w:p>
            <w:pPr>
              <w:pStyle w:val="TableParagraph"/>
              <w:spacing w:before="41"/>
              <w:ind w:left="217" w:right="210"/>
              <w:rPr>
                <w:sz w:val="24"/>
              </w:rPr>
            </w:pPr>
            <w:r>
              <w:rPr>
                <w:sz w:val="24"/>
              </w:rPr>
              <w:t>Non-Contact Water Recreation</w:t>
            </w:r>
          </w:p>
        </w:tc>
      </w:tr>
    </w:tbl>
    <w:p>
      <w:pPr>
        <w:spacing w:after="0"/>
        <w:rPr>
          <w:sz w:val="24"/>
        </w:rPr>
        <w:sectPr>
          <w:pgSz w:w="12240" w:h="15840"/>
          <w:pgMar w:header="728" w:footer="788" w:top="1540" w:bottom="980" w:left="1160" w:right="420"/>
        </w:sectPr>
      </w:pPr>
    </w:p>
    <w:p>
      <w:pPr>
        <w:pStyle w:val="BodyText"/>
        <w:spacing w:before="11"/>
        <w:rPr>
          <w:b/>
          <w:sz w:val="23"/>
        </w:rPr>
      </w:pPr>
    </w:p>
    <w:tbl>
      <w:tblPr>
        <w:tblW w:w="0" w:type="auto"/>
        <w:jc w:val="left"/>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04"/>
        <w:gridCol w:w="6947"/>
      </w:tblGrid>
      <w:tr>
        <w:trPr>
          <w:trHeight w:val="436" w:hRule="atLeast"/>
        </w:trPr>
        <w:tc>
          <w:tcPr>
            <w:tcW w:w="2404" w:type="dxa"/>
            <w:shd w:val="clear" w:color="auto" w:fill="D9D9D9"/>
          </w:tcPr>
          <w:p>
            <w:pPr>
              <w:pStyle w:val="TableParagraph"/>
              <w:spacing w:before="80"/>
              <w:ind w:left="192" w:right="184"/>
              <w:rPr>
                <w:b/>
                <w:sz w:val="24"/>
              </w:rPr>
            </w:pPr>
            <w:r>
              <w:rPr>
                <w:b/>
                <w:sz w:val="24"/>
              </w:rPr>
              <w:t>Acronym</w:t>
            </w:r>
          </w:p>
        </w:tc>
        <w:tc>
          <w:tcPr>
            <w:tcW w:w="6947" w:type="dxa"/>
            <w:shd w:val="clear" w:color="auto" w:fill="D9D9D9"/>
          </w:tcPr>
          <w:p>
            <w:pPr>
              <w:pStyle w:val="TableParagraph"/>
              <w:spacing w:before="80"/>
              <w:ind w:left="217" w:right="209"/>
              <w:rPr>
                <w:b/>
                <w:sz w:val="24"/>
              </w:rPr>
            </w:pPr>
            <w:r>
              <w:rPr>
                <w:b/>
                <w:sz w:val="24"/>
              </w:rPr>
              <w:t>Definition</w:t>
            </w:r>
          </w:p>
        </w:tc>
      </w:tr>
      <w:tr>
        <w:trPr>
          <w:trHeight w:val="907" w:hRule="atLeast"/>
        </w:trPr>
        <w:tc>
          <w:tcPr>
            <w:tcW w:w="2404" w:type="dxa"/>
          </w:tcPr>
          <w:p>
            <w:pPr>
              <w:pStyle w:val="TableParagraph"/>
              <w:spacing w:before="6"/>
              <w:jc w:val="left"/>
              <w:rPr>
                <w:b/>
                <w:sz w:val="27"/>
              </w:rPr>
            </w:pPr>
          </w:p>
          <w:p>
            <w:pPr>
              <w:pStyle w:val="TableParagraph"/>
              <w:ind w:left="194" w:right="184"/>
              <w:rPr>
                <w:sz w:val="24"/>
              </w:rPr>
            </w:pPr>
            <w:r>
              <w:rPr>
                <w:sz w:val="24"/>
              </w:rPr>
              <w:t>Receiving Waters</w:t>
            </w:r>
          </w:p>
        </w:tc>
        <w:tc>
          <w:tcPr>
            <w:tcW w:w="6947" w:type="dxa"/>
          </w:tcPr>
          <w:p>
            <w:pPr>
              <w:pStyle w:val="TableParagraph"/>
              <w:spacing w:before="40"/>
              <w:ind w:left="231" w:right="219" w:hanging="3"/>
              <w:rPr>
                <w:sz w:val="24"/>
              </w:rPr>
            </w:pPr>
            <w:r>
              <w:rPr>
                <w:sz w:val="24"/>
              </w:rPr>
              <w:t>Waterbodies within the Dominguez Channel/Inner and Outer Los Angeles and Long Beach Harbor Watershed and the Los Cerritos Channel/Alamitos Bay Watershed</w:t>
            </w:r>
          </w:p>
        </w:tc>
      </w:tr>
      <w:tr>
        <w:trPr>
          <w:trHeight w:val="354" w:hRule="atLeast"/>
        </w:trPr>
        <w:tc>
          <w:tcPr>
            <w:tcW w:w="2404" w:type="dxa"/>
          </w:tcPr>
          <w:p>
            <w:pPr>
              <w:pStyle w:val="TableParagraph"/>
              <w:spacing w:before="41"/>
              <w:ind w:left="191" w:right="184"/>
              <w:rPr>
                <w:sz w:val="24"/>
              </w:rPr>
            </w:pPr>
            <w:r>
              <w:rPr>
                <w:sz w:val="24"/>
              </w:rPr>
              <w:t>RL</w:t>
            </w:r>
          </w:p>
        </w:tc>
        <w:tc>
          <w:tcPr>
            <w:tcW w:w="6947" w:type="dxa"/>
          </w:tcPr>
          <w:p>
            <w:pPr>
              <w:pStyle w:val="TableParagraph"/>
              <w:spacing w:before="41"/>
              <w:ind w:left="215" w:right="210"/>
              <w:rPr>
                <w:sz w:val="24"/>
              </w:rPr>
            </w:pPr>
            <w:r>
              <w:rPr>
                <w:sz w:val="24"/>
              </w:rPr>
              <w:t>Reporting Level</w:t>
            </w:r>
          </w:p>
        </w:tc>
      </w:tr>
      <w:tr>
        <w:trPr>
          <w:trHeight w:val="355" w:hRule="atLeast"/>
        </w:trPr>
        <w:tc>
          <w:tcPr>
            <w:tcW w:w="2404" w:type="dxa"/>
          </w:tcPr>
          <w:p>
            <w:pPr>
              <w:pStyle w:val="TableParagraph"/>
              <w:spacing w:before="42"/>
              <w:ind w:left="191" w:right="184"/>
              <w:rPr>
                <w:sz w:val="24"/>
              </w:rPr>
            </w:pPr>
            <w:r>
              <w:rPr>
                <w:sz w:val="24"/>
              </w:rPr>
              <w:t>SHELL</w:t>
            </w:r>
          </w:p>
        </w:tc>
        <w:tc>
          <w:tcPr>
            <w:tcW w:w="6947" w:type="dxa"/>
          </w:tcPr>
          <w:p>
            <w:pPr>
              <w:pStyle w:val="TableParagraph"/>
              <w:spacing w:before="42"/>
              <w:ind w:left="217" w:right="210"/>
              <w:rPr>
                <w:sz w:val="24"/>
              </w:rPr>
            </w:pPr>
            <w:r>
              <w:rPr>
                <w:sz w:val="24"/>
              </w:rPr>
              <w:t>Shellfish Harvesting</w:t>
            </w:r>
          </w:p>
        </w:tc>
      </w:tr>
      <w:tr>
        <w:trPr>
          <w:trHeight w:val="355" w:hRule="atLeast"/>
        </w:trPr>
        <w:tc>
          <w:tcPr>
            <w:tcW w:w="2404" w:type="dxa"/>
          </w:tcPr>
          <w:p>
            <w:pPr>
              <w:pStyle w:val="TableParagraph"/>
              <w:spacing w:before="42"/>
              <w:ind w:left="193" w:right="184"/>
              <w:rPr>
                <w:sz w:val="24"/>
              </w:rPr>
            </w:pPr>
            <w:r>
              <w:rPr>
                <w:sz w:val="24"/>
              </w:rPr>
              <w:t>SIC</w:t>
            </w:r>
          </w:p>
        </w:tc>
        <w:tc>
          <w:tcPr>
            <w:tcW w:w="6947" w:type="dxa"/>
          </w:tcPr>
          <w:p>
            <w:pPr>
              <w:pStyle w:val="TableParagraph"/>
              <w:spacing w:before="42"/>
              <w:ind w:left="215" w:right="210"/>
              <w:rPr>
                <w:sz w:val="24"/>
              </w:rPr>
            </w:pPr>
            <w:r>
              <w:rPr>
                <w:sz w:val="24"/>
              </w:rPr>
              <w:t>Standard Industrial Classification</w:t>
            </w:r>
          </w:p>
        </w:tc>
      </w:tr>
      <w:tr>
        <w:trPr>
          <w:trHeight w:val="355" w:hRule="atLeast"/>
        </w:trPr>
        <w:tc>
          <w:tcPr>
            <w:tcW w:w="2404" w:type="dxa"/>
          </w:tcPr>
          <w:p>
            <w:pPr>
              <w:pStyle w:val="TableParagraph"/>
              <w:spacing w:before="42"/>
              <w:ind w:left="192" w:right="184"/>
              <w:rPr>
                <w:sz w:val="24"/>
              </w:rPr>
            </w:pPr>
            <w:r>
              <w:rPr>
                <w:sz w:val="24"/>
              </w:rPr>
              <w:t>SIP</w:t>
            </w:r>
          </w:p>
        </w:tc>
        <w:tc>
          <w:tcPr>
            <w:tcW w:w="6947" w:type="dxa"/>
          </w:tcPr>
          <w:p>
            <w:pPr>
              <w:pStyle w:val="TableParagraph"/>
              <w:spacing w:before="42"/>
              <w:ind w:left="217" w:right="209"/>
              <w:rPr>
                <w:sz w:val="24"/>
              </w:rPr>
            </w:pPr>
            <w:r>
              <w:rPr>
                <w:sz w:val="24"/>
              </w:rPr>
              <w:t>State Implementation Policy</w:t>
            </w:r>
          </w:p>
        </w:tc>
      </w:tr>
      <w:tr>
        <w:trPr>
          <w:trHeight w:val="356" w:hRule="atLeast"/>
        </w:trPr>
        <w:tc>
          <w:tcPr>
            <w:tcW w:w="2404" w:type="dxa"/>
          </w:tcPr>
          <w:p>
            <w:pPr>
              <w:pStyle w:val="TableParagraph"/>
              <w:spacing w:before="42"/>
              <w:ind w:left="193" w:right="184"/>
              <w:rPr>
                <w:sz w:val="24"/>
              </w:rPr>
            </w:pPr>
            <w:r>
              <w:rPr>
                <w:sz w:val="24"/>
              </w:rPr>
              <w:t>SMARTS</w:t>
            </w:r>
          </w:p>
        </w:tc>
        <w:tc>
          <w:tcPr>
            <w:tcW w:w="6947" w:type="dxa"/>
          </w:tcPr>
          <w:p>
            <w:pPr>
              <w:pStyle w:val="TableParagraph"/>
              <w:spacing w:before="42"/>
              <w:ind w:left="217" w:right="210"/>
              <w:rPr>
                <w:sz w:val="24"/>
              </w:rPr>
            </w:pPr>
            <w:r>
              <w:rPr>
                <w:sz w:val="24"/>
              </w:rPr>
              <w:t>Stormwater Multiple Application and Report Tracking System</w:t>
            </w:r>
          </w:p>
        </w:tc>
      </w:tr>
      <w:tr>
        <w:trPr>
          <w:trHeight w:val="355" w:hRule="atLeast"/>
        </w:trPr>
        <w:tc>
          <w:tcPr>
            <w:tcW w:w="2404" w:type="dxa"/>
          </w:tcPr>
          <w:p>
            <w:pPr>
              <w:pStyle w:val="TableParagraph"/>
              <w:spacing w:before="42"/>
              <w:ind w:left="193" w:right="184"/>
              <w:rPr>
                <w:sz w:val="24"/>
              </w:rPr>
            </w:pPr>
            <w:r>
              <w:rPr>
                <w:sz w:val="24"/>
              </w:rPr>
              <w:t>SOCs</w:t>
            </w:r>
          </w:p>
        </w:tc>
        <w:tc>
          <w:tcPr>
            <w:tcW w:w="6947" w:type="dxa"/>
          </w:tcPr>
          <w:p>
            <w:pPr>
              <w:pStyle w:val="TableParagraph"/>
              <w:spacing w:before="42"/>
              <w:ind w:left="217" w:right="207"/>
              <w:rPr>
                <w:sz w:val="24"/>
              </w:rPr>
            </w:pPr>
            <w:r>
              <w:rPr>
                <w:sz w:val="24"/>
              </w:rPr>
              <w:t>Synthetic Organic Contaminants</w:t>
            </w:r>
          </w:p>
        </w:tc>
      </w:tr>
      <w:tr>
        <w:trPr>
          <w:trHeight w:val="356" w:hRule="atLeast"/>
        </w:trPr>
        <w:tc>
          <w:tcPr>
            <w:tcW w:w="2404" w:type="dxa"/>
          </w:tcPr>
          <w:p>
            <w:pPr>
              <w:pStyle w:val="TableParagraph"/>
              <w:spacing w:before="42"/>
              <w:ind w:left="192" w:right="184"/>
              <w:rPr>
                <w:sz w:val="24"/>
              </w:rPr>
            </w:pPr>
            <w:r>
              <w:rPr>
                <w:sz w:val="24"/>
              </w:rPr>
              <w:t>SPAWN</w:t>
            </w:r>
          </w:p>
        </w:tc>
        <w:tc>
          <w:tcPr>
            <w:tcW w:w="6947" w:type="dxa"/>
          </w:tcPr>
          <w:p>
            <w:pPr>
              <w:pStyle w:val="TableParagraph"/>
              <w:spacing w:before="42"/>
              <w:ind w:left="216" w:right="210"/>
              <w:rPr>
                <w:sz w:val="24"/>
              </w:rPr>
            </w:pPr>
            <w:r>
              <w:rPr>
                <w:sz w:val="24"/>
              </w:rPr>
              <w:t>Spawning, Reproduction, and/or Early Development</w:t>
            </w:r>
          </w:p>
        </w:tc>
      </w:tr>
      <w:tr>
        <w:trPr>
          <w:trHeight w:val="356" w:hRule="atLeast"/>
        </w:trPr>
        <w:tc>
          <w:tcPr>
            <w:tcW w:w="2404" w:type="dxa"/>
          </w:tcPr>
          <w:p>
            <w:pPr>
              <w:pStyle w:val="TableParagraph"/>
              <w:spacing w:before="42"/>
              <w:ind w:left="194" w:right="184"/>
              <w:rPr>
                <w:sz w:val="24"/>
              </w:rPr>
            </w:pPr>
            <w:r>
              <w:rPr>
                <w:sz w:val="24"/>
              </w:rPr>
              <w:t>State Water Board</w:t>
            </w:r>
          </w:p>
        </w:tc>
        <w:tc>
          <w:tcPr>
            <w:tcW w:w="6947" w:type="dxa"/>
          </w:tcPr>
          <w:p>
            <w:pPr>
              <w:pStyle w:val="TableParagraph"/>
              <w:spacing w:before="42"/>
              <w:ind w:left="217" w:right="209"/>
              <w:rPr>
                <w:sz w:val="24"/>
              </w:rPr>
            </w:pPr>
            <w:r>
              <w:rPr>
                <w:sz w:val="24"/>
              </w:rPr>
              <w:t>State Water Resources Control Board</w:t>
            </w:r>
          </w:p>
        </w:tc>
      </w:tr>
      <w:tr>
        <w:trPr>
          <w:trHeight w:val="355" w:hRule="atLeast"/>
        </w:trPr>
        <w:tc>
          <w:tcPr>
            <w:tcW w:w="2404" w:type="dxa"/>
          </w:tcPr>
          <w:p>
            <w:pPr>
              <w:pStyle w:val="TableParagraph"/>
              <w:spacing w:before="42"/>
              <w:ind w:left="193" w:right="184"/>
              <w:rPr>
                <w:sz w:val="24"/>
              </w:rPr>
            </w:pPr>
            <w:r>
              <w:rPr>
                <w:sz w:val="24"/>
              </w:rPr>
              <w:t>STV</w:t>
            </w:r>
          </w:p>
        </w:tc>
        <w:tc>
          <w:tcPr>
            <w:tcW w:w="6947" w:type="dxa"/>
          </w:tcPr>
          <w:p>
            <w:pPr>
              <w:pStyle w:val="TableParagraph"/>
              <w:spacing w:before="42"/>
              <w:ind w:left="217" w:right="209"/>
              <w:rPr>
                <w:sz w:val="24"/>
              </w:rPr>
            </w:pPr>
            <w:r>
              <w:rPr>
                <w:sz w:val="24"/>
              </w:rPr>
              <w:t>Statistical Threshold Value</w:t>
            </w:r>
          </w:p>
        </w:tc>
      </w:tr>
      <w:tr>
        <w:trPr>
          <w:trHeight w:val="355" w:hRule="atLeast"/>
        </w:trPr>
        <w:tc>
          <w:tcPr>
            <w:tcW w:w="2404" w:type="dxa"/>
          </w:tcPr>
          <w:p>
            <w:pPr>
              <w:pStyle w:val="TableParagraph"/>
              <w:spacing w:before="42"/>
              <w:ind w:left="192" w:right="184"/>
              <w:rPr>
                <w:sz w:val="24"/>
              </w:rPr>
            </w:pPr>
            <w:r>
              <w:rPr>
                <w:sz w:val="24"/>
              </w:rPr>
              <w:t>SWPPP</w:t>
            </w:r>
          </w:p>
        </w:tc>
        <w:tc>
          <w:tcPr>
            <w:tcW w:w="6947" w:type="dxa"/>
          </w:tcPr>
          <w:p>
            <w:pPr>
              <w:pStyle w:val="TableParagraph"/>
              <w:spacing w:before="42"/>
              <w:ind w:left="217" w:right="206"/>
              <w:rPr>
                <w:sz w:val="24"/>
              </w:rPr>
            </w:pPr>
            <w:r>
              <w:rPr>
                <w:sz w:val="24"/>
              </w:rPr>
              <w:t>Stormwater Pollution Prevention Plan</w:t>
            </w:r>
          </w:p>
        </w:tc>
      </w:tr>
      <w:tr>
        <w:trPr>
          <w:trHeight w:val="356" w:hRule="atLeast"/>
        </w:trPr>
        <w:tc>
          <w:tcPr>
            <w:tcW w:w="2404" w:type="dxa"/>
          </w:tcPr>
          <w:p>
            <w:pPr>
              <w:pStyle w:val="TableParagraph"/>
              <w:spacing w:before="42"/>
              <w:ind w:left="191" w:right="184"/>
              <w:rPr>
                <w:sz w:val="24"/>
              </w:rPr>
            </w:pPr>
            <w:r>
              <w:rPr>
                <w:sz w:val="24"/>
              </w:rPr>
              <w:t>TBELs</w:t>
            </w:r>
          </w:p>
        </w:tc>
        <w:tc>
          <w:tcPr>
            <w:tcW w:w="6947" w:type="dxa"/>
          </w:tcPr>
          <w:p>
            <w:pPr>
              <w:pStyle w:val="TableParagraph"/>
              <w:spacing w:before="42"/>
              <w:ind w:left="217" w:right="208"/>
              <w:rPr>
                <w:sz w:val="24"/>
              </w:rPr>
            </w:pPr>
            <w:r>
              <w:rPr>
                <w:sz w:val="24"/>
              </w:rPr>
              <w:t>Technology-Based Effluent Limitations</w:t>
            </w:r>
          </w:p>
        </w:tc>
      </w:tr>
      <w:tr>
        <w:trPr>
          <w:trHeight w:val="908" w:hRule="atLeast"/>
        </w:trPr>
        <w:tc>
          <w:tcPr>
            <w:tcW w:w="2404" w:type="dxa"/>
          </w:tcPr>
          <w:p>
            <w:pPr>
              <w:pStyle w:val="TableParagraph"/>
              <w:spacing w:before="7"/>
              <w:jc w:val="left"/>
              <w:rPr>
                <w:b/>
                <w:sz w:val="27"/>
              </w:rPr>
            </w:pPr>
          </w:p>
          <w:p>
            <w:pPr>
              <w:pStyle w:val="TableParagraph"/>
              <w:spacing w:before="1"/>
              <w:ind w:left="193" w:right="184"/>
              <w:rPr>
                <w:sz w:val="24"/>
              </w:rPr>
            </w:pPr>
            <w:r>
              <w:rPr>
                <w:sz w:val="24"/>
              </w:rPr>
              <w:t>Thermal Plan</w:t>
            </w:r>
          </w:p>
        </w:tc>
        <w:tc>
          <w:tcPr>
            <w:tcW w:w="6947" w:type="dxa"/>
          </w:tcPr>
          <w:p>
            <w:pPr>
              <w:pStyle w:val="TableParagraph"/>
              <w:spacing w:before="41"/>
              <w:ind w:left="217" w:right="206"/>
              <w:rPr>
                <w:i/>
                <w:sz w:val="24"/>
              </w:rPr>
            </w:pPr>
            <w:r>
              <w:rPr>
                <w:i/>
                <w:sz w:val="24"/>
              </w:rPr>
              <w:t>Water Quality Control Plan for Control of Temperature in the </w:t>
            </w:r>
            <w:r>
              <w:rPr>
                <w:i/>
                <w:sz w:val="24"/>
              </w:rPr>
              <w:t>Coastal and Interstate Waters and Enclosed Bays and Estuaries of California</w:t>
            </w:r>
          </w:p>
        </w:tc>
      </w:tr>
      <w:tr>
        <w:trPr>
          <w:trHeight w:val="355" w:hRule="atLeast"/>
        </w:trPr>
        <w:tc>
          <w:tcPr>
            <w:tcW w:w="2404" w:type="dxa"/>
          </w:tcPr>
          <w:p>
            <w:pPr>
              <w:pStyle w:val="TableParagraph"/>
              <w:spacing w:before="42"/>
              <w:ind w:left="192" w:right="184"/>
              <w:rPr>
                <w:sz w:val="24"/>
              </w:rPr>
            </w:pPr>
            <w:r>
              <w:rPr>
                <w:sz w:val="24"/>
              </w:rPr>
              <w:t>TMDL</w:t>
            </w:r>
          </w:p>
        </w:tc>
        <w:tc>
          <w:tcPr>
            <w:tcW w:w="6947" w:type="dxa"/>
          </w:tcPr>
          <w:p>
            <w:pPr>
              <w:pStyle w:val="TableParagraph"/>
              <w:spacing w:before="42"/>
              <w:ind w:left="217" w:right="207"/>
              <w:rPr>
                <w:sz w:val="24"/>
              </w:rPr>
            </w:pPr>
            <w:r>
              <w:rPr>
                <w:sz w:val="24"/>
              </w:rPr>
              <w:t>Total Maximum Daily Load</w:t>
            </w:r>
          </w:p>
        </w:tc>
      </w:tr>
      <w:tr>
        <w:trPr>
          <w:trHeight w:val="356" w:hRule="atLeast"/>
        </w:trPr>
        <w:tc>
          <w:tcPr>
            <w:tcW w:w="2404" w:type="dxa"/>
          </w:tcPr>
          <w:p>
            <w:pPr>
              <w:pStyle w:val="TableParagraph"/>
              <w:spacing w:before="42"/>
              <w:ind w:left="193" w:right="184"/>
              <w:rPr>
                <w:sz w:val="24"/>
              </w:rPr>
            </w:pPr>
            <w:r>
              <w:rPr>
                <w:sz w:val="24"/>
              </w:rPr>
              <w:t>TSS</w:t>
            </w:r>
          </w:p>
        </w:tc>
        <w:tc>
          <w:tcPr>
            <w:tcW w:w="6947" w:type="dxa"/>
          </w:tcPr>
          <w:p>
            <w:pPr>
              <w:pStyle w:val="TableParagraph"/>
              <w:spacing w:before="42"/>
              <w:ind w:left="217" w:right="209"/>
              <w:rPr>
                <w:sz w:val="24"/>
              </w:rPr>
            </w:pPr>
            <w:r>
              <w:rPr>
                <w:sz w:val="24"/>
              </w:rPr>
              <w:t>Total Suspended Solids</w:t>
            </w:r>
          </w:p>
        </w:tc>
      </w:tr>
      <w:tr>
        <w:trPr>
          <w:trHeight w:val="356" w:hRule="atLeast"/>
        </w:trPr>
        <w:tc>
          <w:tcPr>
            <w:tcW w:w="2404" w:type="dxa"/>
          </w:tcPr>
          <w:p>
            <w:pPr>
              <w:pStyle w:val="TableParagraph"/>
              <w:spacing w:before="42"/>
              <w:ind w:left="191" w:right="184"/>
              <w:rPr>
                <w:sz w:val="24"/>
              </w:rPr>
            </w:pPr>
            <w:r>
              <w:rPr>
                <w:sz w:val="24"/>
              </w:rPr>
              <w:t>USC</w:t>
            </w:r>
          </w:p>
        </w:tc>
        <w:tc>
          <w:tcPr>
            <w:tcW w:w="6947" w:type="dxa"/>
          </w:tcPr>
          <w:p>
            <w:pPr>
              <w:pStyle w:val="TableParagraph"/>
              <w:spacing w:before="42"/>
              <w:ind w:left="217" w:right="210"/>
              <w:rPr>
                <w:sz w:val="24"/>
              </w:rPr>
            </w:pPr>
            <w:r>
              <w:rPr>
                <w:sz w:val="24"/>
              </w:rPr>
              <w:t>United States Code</w:t>
            </w:r>
          </w:p>
        </w:tc>
      </w:tr>
      <w:tr>
        <w:trPr>
          <w:trHeight w:val="356" w:hRule="atLeast"/>
        </w:trPr>
        <w:tc>
          <w:tcPr>
            <w:tcW w:w="2404" w:type="dxa"/>
          </w:tcPr>
          <w:p>
            <w:pPr>
              <w:pStyle w:val="TableParagraph"/>
              <w:spacing w:before="42"/>
              <w:ind w:left="190" w:right="184"/>
              <w:rPr>
                <w:sz w:val="24"/>
              </w:rPr>
            </w:pPr>
            <w:r>
              <w:rPr>
                <w:sz w:val="24"/>
              </w:rPr>
              <w:t>USCA</w:t>
            </w:r>
          </w:p>
        </w:tc>
        <w:tc>
          <w:tcPr>
            <w:tcW w:w="6947" w:type="dxa"/>
          </w:tcPr>
          <w:p>
            <w:pPr>
              <w:pStyle w:val="TableParagraph"/>
              <w:spacing w:before="42"/>
              <w:ind w:left="216" w:right="210"/>
              <w:rPr>
                <w:sz w:val="24"/>
              </w:rPr>
            </w:pPr>
            <w:r>
              <w:rPr>
                <w:sz w:val="24"/>
              </w:rPr>
              <w:t>United States Code Annotated</w:t>
            </w:r>
          </w:p>
        </w:tc>
      </w:tr>
      <w:tr>
        <w:trPr>
          <w:trHeight w:val="355" w:hRule="atLeast"/>
        </w:trPr>
        <w:tc>
          <w:tcPr>
            <w:tcW w:w="2404" w:type="dxa"/>
          </w:tcPr>
          <w:p>
            <w:pPr>
              <w:pStyle w:val="TableParagraph"/>
              <w:spacing w:before="41"/>
              <w:ind w:left="191" w:right="184"/>
              <w:rPr>
                <w:sz w:val="24"/>
              </w:rPr>
            </w:pPr>
            <w:r>
              <w:rPr>
                <w:sz w:val="24"/>
              </w:rPr>
              <w:t>USEPA</w:t>
            </w:r>
          </w:p>
        </w:tc>
        <w:tc>
          <w:tcPr>
            <w:tcW w:w="6947" w:type="dxa"/>
          </w:tcPr>
          <w:p>
            <w:pPr>
              <w:pStyle w:val="TableParagraph"/>
              <w:spacing w:before="41"/>
              <w:ind w:left="217" w:right="208"/>
              <w:rPr>
                <w:sz w:val="24"/>
              </w:rPr>
            </w:pPr>
            <w:r>
              <w:rPr>
                <w:sz w:val="24"/>
              </w:rPr>
              <w:t>United States Environmental Protection Agency</w:t>
            </w:r>
          </w:p>
        </w:tc>
      </w:tr>
      <w:tr>
        <w:trPr>
          <w:trHeight w:val="356" w:hRule="atLeast"/>
        </w:trPr>
        <w:tc>
          <w:tcPr>
            <w:tcW w:w="2404" w:type="dxa"/>
          </w:tcPr>
          <w:p>
            <w:pPr>
              <w:pStyle w:val="TableParagraph"/>
              <w:spacing w:before="41"/>
              <w:ind w:left="191" w:right="184"/>
              <w:rPr>
                <w:sz w:val="24"/>
              </w:rPr>
            </w:pPr>
            <w:r>
              <w:rPr>
                <w:sz w:val="24"/>
              </w:rPr>
              <w:t>US</w:t>
            </w:r>
          </w:p>
        </w:tc>
        <w:tc>
          <w:tcPr>
            <w:tcW w:w="6947" w:type="dxa"/>
          </w:tcPr>
          <w:p>
            <w:pPr>
              <w:pStyle w:val="TableParagraph"/>
              <w:spacing w:before="41"/>
              <w:ind w:left="216" w:right="210"/>
              <w:rPr>
                <w:sz w:val="24"/>
              </w:rPr>
            </w:pPr>
            <w:r>
              <w:rPr>
                <w:sz w:val="24"/>
              </w:rPr>
              <w:t>United States</w:t>
            </w:r>
          </w:p>
        </w:tc>
      </w:tr>
      <w:tr>
        <w:trPr>
          <w:trHeight w:val="355" w:hRule="atLeast"/>
        </w:trPr>
        <w:tc>
          <w:tcPr>
            <w:tcW w:w="2404" w:type="dxa"/>
          </w:tcPr>
          <w:p>
            <w:pPr>
              <w:pStyle w:val="TableParagraph"/>
              <w:spacing w:before="41"/>
              <w:ind w:left="193" w:right="184"/>
              <w:rPr>
                <w:sz w:val="24"/>
              </w:rPr>
            </w:pPr>
            <w:r>
              <w:rPr>
                <w:sz w:val="24"/>
              </w:rPr>
              <w:t>VOCs</w:t>
            </w:r>
          </w:p>
        </w:tc>
        <w:tc>
          <w:tcPr>
            <w:tcW w:w="6947" w:type="dxa"/>
          </w:tcPr>
          <w:p>
            <w:pPr>
              <w:pStyle w:val="TableParagraph"/>
              <w:spacing w:before="41"/>
              <w:ind w:left="217" w:right="208"/>
              <w:rPr>
                <w:sz w:val="24"/>
              </w:rPr>
            </w:pPr>
            <w:r>
              <w:rPr>
                <w:sz w:val="24"/>
              </w:rPr>
              <w:t>Volatile Organic Carbons</w:t>
            </w:r>
          </w:p>
        </w:tc>
      </w:tr>
      <w:tr>
        <w:trPr>
          <w:trHeight w:val="355" w:hRule="atLeast"/>
        </w:trPr>
        <w:tc>
          <w:tcPr>
            <w:tcW w:w="2404" w:type="dxa"/>
          </w:tcPr>
          <w:p>
            <w:pPr>
              <w:pStyle w:val="TableParagraph"/>
              <w:spacing w:before="41"/>
              <w:ind w:left="192" w:right="184"/>
              <w:rPr>
                <w:sz w:val="24"/>
              </w:rPr>
            </w:pPr>
            <w:r>
              <w:rPr>
                <w:sz w:val="24"/>
              </w:rPr>
              <w:t>WARM</w:t>
            </w:r>
          </w:p>
        </w:tc>
        <w:tc>
          <w:tcPr>
            <w:tcW w:w="6947" w:type="dxa"/>
          </w:tcPr>
          <w:p>
            <w:pPr>
              <w:pStyle w:val="TableParagraph"/>
              <w:spacing w:before="41"/>
              <w:ind w:left="217" w:right="208"/>
              <w:rPr>
                <w:sz w:val="24"/>
              </w:rPr>
            </w:pPr>
            <w:r>
              <w:rPr>
                <w:sz w:val="24"/>
              </w:rPr>
              <w:t>Warm Freshwater Habitat</w:t>
            </w:r>
          </w:p>
        </w:tc>
      </w:tr>
      <w:tr>
        <w:trPr>
          <w:trHeight w:val="356" w:hRule="atLeast"/>
        </w:trPr>
        <w:tc>
          <w:tcPr>
            <w:tcW w:w="2404" w:type="dxa"/>
          </w:tcPr>
          <w:p>
            <w:pPr>
              <w:pStyle w:val="TableParagraph"/>
              <w:spacing w:before="41"/>
              <w:ind w:left="192" w:right="184"/>
              <w:rPr>
                <w:sz w:val="24"/>
              </w:rPr>
            </w:pPr>
            <w:r>
              <w:rPr>
                <w:sz w:val="24"/>
              </w:rPr>
              <w:t>WET</w:t>
            </w:r>
          </w:p>
        </w:tc>
        <w:tc>
          <w:tcPr>
            <w:tcW w:w="6947" w:type="dxa"/>
          </w:tcPr>
          <w:p>
            <w:pPr>
              <w:pStyle w:val="TableParagraph"/>
              <w:spacing w:before="41"/>
              <w:ind w:left="217" w:right="208"/>
              <w:rPr>
                <w:sz w:val="24"/>
              </w:rPr>
            </w:pPr>
            <w:r>
              <w:rPr>
                <w:sz w:val="24"/>
              </w:rPr>
              <w:t>Wetland Habitat</w:t>
            </w:r>
          </w:p>
        </w:tc>
      </w:tr>
      <w:tr>
        <w:trPr>
          <w:trHeight w:val="356" w:hRule="atLeast"/>
        </w:trPr>
        <w:tc>
          <w:tcPr>
            <w:tcW w:w="2404" w:type="dxa"/>
          </w:tcPr>
          <w:p>
            <w:pPr>
              <w:pStyle w:val="TableParagraph"/>
              <w:spacing w:before="41"/>
              <w:ind w:left="193" w:right="184"/>
              <w:rPr>
                <w:sz w:val="24"/>
              </w:rPr>
            </w:pPr>
            <w:r>
              <w:rPr>
                <w:sz w:val="24"/>
              </w:rPr>
              <w:t>WDID</w:t>
            </w:r>
          </w:p>
        </w:tc>
        <w:tc>
          <w:tcPr>
            <w:tcW w:w="6947" w:type="dxa"/>
          </w:tcPr>
          <w:p>
            <w:pPr>
              <w:pStyle w:val="TableParagraph"/>
              <w:spacing w:before="41"/>
              <w:ind w:left="217" w:right="210"/>
              <w:rPr>
                <w:sz w:val="24"/>
              </w:rPr>
            </w:pPr>
            <w:r>
              <w:rPr>
                <w:sz w:val="24"/>
              </w:rPr>
              <w:t>Waste Discharge Identification</w:t>
            </w:r>
          </w:p>
        </w:tc>
      </w:tr>
      <w:tr>
        <w:trPr>
          <w:trHeight w:val="356" w:hRule="atLeast"/>
        </w:trPr>
        <w:tc>
          <w:tcPr>
            <w:tcW w:w="2404" w:type="dxa"/>
          </w:tcPr>
          <w:p>
            <w:pPr>
              <w:pStyle w:val="TableParagraph"/>
              <w:spacing w:before="41"/>
              <w:ind w:left="191" w:right="184"/>
              <w:rPr>
                <w:sz w:val="24"/>
              </w:rPr>
            </w:pPr>
            <w:r>
              <w:rPr>
                <w:sz w:val="24"/>
              </w:rPr>
              <w:t>WDRs</w:t>
            </w:r>
          </w:p>
        </w:tc>
        <w:tc>
          <w:tcPr>
            <w:tcW w:w="6947" w:type="dxa"/>
          </w:tcPr>
          <w:p>
            <w:pPr>
              <w:pStyle w:val="TableParagraph"/>
              <w:spacing w:before="41"/>
              <w:ind w:left="217" w:right="210"/>
              <w:rPr>
                <w:sz w:val="24"/>
              </w:rPr>
            </w:pPr>
            <w:r>
              <w:rPr>
                <w:sz w:val="24"/>
              </w:rPr>
              <w:t>Waste Discharge Requirements</w:t>
            </w:r>
          </w:p>
        </w:tc>
      </w:tr>
      <w:tr>
        <w:trPr>
          <w:trHeight w:val="355" w:hRule="atLeast"/>
        </w:trPr>
        <w:tc>
          <w:tcPr>
            <w:tcW w:w="2404" w:type="dxa"/>
          </w:tcPr>
          <w:p>
            <w:pPr>
              <w:pStyle w:val="TableParagraph"/>
              <w:spacing w:before="41"/>
              <w:ind w:left="192" w:right="184"/>
              <w:rPr>
                <w:sz w:val="24"/>
              </w:rPr>
            </w:pPr>
            <w:r>
              <w:rPr>
                <w:sz w:val="24"/>
              </w:rPr>
              <w:t>WILD</w:t>
            </w:r>
          </w:p>
        </w:tc>
        <w:tc>
          <w:tcPr>
            <w:tcW w:w="6947" w:type="dxa"/>
          </w:tcPr>
          <w:p>
            <w:pPr>
              <w:pStyle w:val="TableParagraph"/>
              <w:spacing w:before="41"/>
              <w:ind w:left="217" w:right="209"/>
              <w:rPr>
                <w:sz w:val="24"/>
              </w:rPr>
            </w:pPr>
            <w:r>
              <w:rPr>
                <w:sz w:val="24"/>
              </w:rPr>
              <w:t>Wildlife Habitat</w:t>
            </w:r>
          </w:p>
        </w:tc>
      </w:tr>
      <w:tr>
        <w:trPr>
          <w:trHeight w:val="356" w:hRule="atLeast"/>
        </w:trPr>
        <w:tc>
          <w:tcPr>
            <w:tcW w:w="2404" w:type="dxa"/>
          </w:tcPr>
          <w:p>
            <w:pPr>
              <w:pStyle w:val="TableParagraph"/>
              <w:spacing w:before="41"/>
              <w:ind w:left="193" w:right="184"/>
              <w:rPr>
                <w:sz w:val="24"/>
              </w:rPr>
            </w:pPr>
            <w:r>
              <w:rPr>
                <w:sz w:val="24"/>
              </w:rPr>
              <w:t>WLA</w:t>
            </w:r>
          </w:p>
        </w:tc>
        <w:tc>
          <w:tcPr>
            <w:tcW w:w="6947" w:type="dxa"/>
          </w:tcPr>
          <w:p>
            <w:pPr>
              <w:pStyle w:val="TableParagraph"/>
              <w:spacing w:before="41"/>
              <w:ind w:left="217" w:right="208"/>
              <w:rPr>
                <w:sz w:val="24"/>
              </w:rPr>
            </w:pPr>
            <w:r>
              <w:rPr>
                <w:sz w:val="24"/>
              </w:rPr>
              <w:t>Wasteload Allocation</w:t>
            </w:r>
          </w:p>
        </w:tc>
      </w:tr>
      <w:tr>
        <w:trPr>
          <w:trHeight w:val="356" w:hRule="atLeast"/>
        </w:trPr>
        <w:tc>
          <w:tcPr>
            <w:tcW w:w="2404" w:type="dxa"/>
          </w:tcPr>
          <w:p>
            <w:pPr>
              <w:pStyle w:val="TableParagraph"/>
              <w:spacing w:before="41"/>
              <w:ind w:left="192" w:right="184"/>
              <w:rPr>
                <w:sz w:val="24"/>
              </w:rPr>
            </w:pPr>
            <w:r>
              <w:rPr>
                <w:sz w:val="24"/>
              </w:rPr>
              <w:t>WQBELs</w:t>
            </w:r>
          </w:p>
        </w:tc>
        <w:tc>
          <w:tcPr>
            <w:tcW w:w="6947" w:type="dxa"/>
          </w:tcPr>
          <w:p>
            <w:pPr>
              <w:pStyle w:val="TableParagraph"/>
              <w:spacing w:before="41"/>
              <w:ind w:left="217" w:right="209"/>
              <w:rPr>
                <w:sz w:val="24"/>
              </w:rPr>
            </w:pPr>
            <w:r>
              <w:rPr>
                <w:sz w:val="24"/>
              </w:rPr>
              <w:t>Water Quality-Based Effluent Limitations</w:t>
            </w:r>
          </w:p>
        </w:tc>
      </w:tr>
    </w:tbl>
    <w:p>
      <w:pPr>
        <w:spacing w:after="0"/>
        <w:rPr>
          <w:sz w:val="24"/>
        </w:rPr>
        <w:sectPr>
          <w:pgSz w:w="12240" w:h="15840"/>
          <w:pgMar w:header="728" w:footer="788" w:top="1540" w:bottom="980" w:left="1160" w:right="420"/>
        </w:sectPr>
      </w:pPr>
    </w:p>
    <w:p>
      <w:pPr>
        <w:pStyle w:val="BodyText"/>
        <w:spacing w:before="11"/>
        <w:rPr>
          <w:b/>
          <w:sz w:val="15"/>
        </w:rPr>
      </w:pPr>
    </w:p>
    <w:p>
      <w:pPr>
        <w:pStyle w:val="ListParagraph"/>
        <w:numPr>
          <w:ilvl w:val="0"/>
          <w:numId w:val="14"/>
        </w:numPr>
        <w:tabs>
          <w:tab w:pos="640" w:val="left" w:leader="none"/>
        </w:tabs>
        <w:spacing w:line="240" w:lineRule="auto" w:before="92" w:after="0"/>
        <w:ind w:left="639" w:right="0" w:hanging="360"/>
        <w:jc w:val="left"/>
        <w:rPr>
          <w:b/>
          <w:sz w:val="24"/>
        </w:rPr>
      </w:pPr>
      <w:r>
        <w:rPr>
          <w:b/>
          <w:sz w:val="24"/>
        </w:rPr>
        <w:t>DEFINITIONS.</w:t>
      </w:r>
    </w:p>
    <w:p>
      <w:pPr>
        <w:pStyle w:val="BodyText"/>
        <w:spacing w:before="10"/>
        <w:rPr>
          <w:b/>
          <w:sz w:val="20"/>
        </w:rPr>
      </w:pPr>
    </w:p>
    <w:p>
      <w:pPr>
        <w:spacing w:before="0"/>
        <w:ind w:left="280" w:right="0" w:firstLine="0"/>
        <w:jc w:val="left"/>
        <w:rPr>
          <w:b/>
          <w:sz w:val="24"/>
        </w:rPr>
      </w:pPr>
      <w:r>
        <w:rPr>
          <w:b/>
          <w:sz w:val="24"/>
        </w:rPr>
        <w:t>85th Percentile 24-Hour Storm Event</w:t>
      </w:r>
    </w:p>
    <w:p>
      <w:pPr>
        <w:pStyle w:val="BodyText"/>
        <w:ind w:left="280" w:right="1041"/>
      </w:pPr>
      <w:r>
        <w:rPr/>
        <w:t>The 85th percentile 24-hour storm event is a statistical design storm defined through a hydrologic analysis of long-term rainfall records for a particular geographic area. At the most basic level, the design storm represents the 85th percentile 24-hour rainfall depth (typically measured in inches of rain) among all 24-hour rainfall depths evaluated in the historical record. Analyses that define this storm event often express the 85th percentile 24-hour storm event as an “isohyetal” or “isopluvial” map with contour lines connecting areas with the same 85th percentile 24-hour rainfall depth. In some situations (e.g. in storm hydrographs), the temporal distribution of rainfall during the 85th percentile 24- hour storm event may be assumed.</w:t>
      </w:r>
    </w:p>
    <w:p>
      <w:pPr>
        <w:pStyle w:val="BodyText"/>
        <w:spacing w:before="10"/>
        <w:rPr>
          <w:sz w:val="20"/>
        </w:rPr>
      </w:pPr>
    </w:p>
    <w:p>
      <w:pPr>
        <w:pStyle w:val="Heading1"/>
        <w:spacing w:before="1"/>
        <w:ind w:left="280"/>
      </w:pPr>
      <w:r>
        <w:rPr/>
        <w:t>Adverse Impact</w:t>
      </w:r>
    </w:p>
    <w:p>
      <w:pPr>
        <w:pStyle w:val="BodyText"/>
        <w:ind w:left="280" w:right="1595"/>
      </w:pPr>
      <w:r>
        <w:rPr/>
        <w:t>A detrimental effect upon water quality or beneficial uses caused by a discharge or loading of a pollutant or pollutants.</w:t>
      </w:r>
    </w:p>
    <w:p>
      <w:pPr>
        <w:pStyle w:val="BodyText"/>
        <w:spacing w:before="9"/>
        <w:rPr>
          <w:sz w:val="20"/>
        </w:rPr>
      </w:pPr>
    </w:p>
    <w:p>
      <w:pPr>
        <w:pStyle w:val="Heading1"/>
        <w:spacing w:before="1"/>
        <w:ind w:left="280"/>
      </w:pPr>
      <w:r>
        <w:rPr/>
        <w:t>Antidegradation Policies</w:t>
      </w:r>
    </w:p>
    <w:p>
      <w:pPr>
        <w:pStyle w:val="BodyText"/>
        <w:ind w:left="280" w:right="1169"/>
      </w:pPr>
      <w:r>
        <w:rPr/>
        <w:t>State and federal laws, regulations and policies established to protect waters from degradation. These requirements are set forth in Statement of Policy with Respect to Maintaining High Quality of Waters in California, State Water Board Resolution No. 68- 16 and 40 CFR section 131.12.</w:t>
      </w:r>
    </w:p>
    <w:p>
      <w:pPr>
        <w:pStyle w:val="BodyText"/>
        <w:spacing w:before="10"/>
        <w:rPr>
          <w:sz w:val="20"/>
        </w:rPr>
      </w:pPr>
    </w:p>
    <w:p>
      <w:pPr>
        <w:pStyle w:val="Heading1"/>
        <w:ind w:left="280"/>
      </w:pPr>
      <w:r>
        <w:rPr/>
        <w:t>Applicable Standards and Limitations</w:t>
      </w:r>
    </w:p>
    <w:p>
      <w:pPr>
        <w:pStyle w:val="BodyText"/>
        <w:ind w:left="280" w:right="1395"/>
      </w:pPr>
      <w:r>
        <w:rPr/>
        <w:t>All State, interstate, and federal standards and limitations to which a “discharge” or a related activity is subject under the CWA, including effluent limitations, water quality standards, standards of performance, toxic effluent standards or prohibitions, and pretreatment standards under CWA sections 301, 302, 303, 304, 306, 307, 308, 403</w:t>
      </w:r>
    </w:p>
    <w:p>
      <w:pPr>
        <w:pStyle w:val="BodyText"/>
        <w:spacing w:line="275" w:lineRule="exact"/>
        <w:ind w:left="280"/>
      </w:pPr>
      <w:r>
        <w:rPr/>
        <w:t>and 404.</w:t>
      </w:r>
    </w:p>
    <w:p>
      <w:pPr>
        <w:pStyle w:val="BodyText"/>
        <w:spacing w:before="10"/>
        <w:rPr>
          <w:sz w:val="20"/>
        </w:rPr>
      </w:pPr>
    </w:p>
    <w:p>
      <w:pPr>
        <w:pStyle w:val="Heading1"/>
        <w:ind w:left="280"/>
      </w:pPr>
      <w:r>
        <w:rPr/>
        <w:t>Arithmetic Sample Mean</w:t>
      </w:r>
    </w:p>
    <w:p>
      <w:pPr>
        <w:pStyle w:val="BodyText"/>
        <w:ind w:left="280" w:right="1302"/>
      </w:pPr>
      <w:r>
        <w:rPr/>
        <w:t>Also called the average, is the sum of measured values divided by the number of samples. For ambient water concentrations, the arithmetic sample mean is calculated as follows:</w:t>
      </w:r>
    </w:p>
    <w:p>
      <w:pPr>
        <w:pStyle w:val="BodyText"/>
        <w:spacing w:line="296" w:lineRule="exact"/>
        <w:ind w:left="1014"/>
      </w:pPr>
      <w:r>
        <w:rPr/>
        <w:t>Arithmetic sample mean = Σ x</w:t>
      </w:r>
      <w:r>
        <w:rPr>
          <w:position w:val="-3"/>
        </w:rPr>
        <w:t>̅ </w:t>
      </w:r>
      <w:r>
        <w:rPr/>
        <w:t>/ n where:</w:t>
      </w:r>
    </w:p>
    <w:p>
      <w:pPr>
        <w:pStyle w:val="BodyText"/>
        <w:tabs>
          <w:tab w:pos="2055" w:val="left" w:leader="none"/>
        </w:tabs>
        <w:spacing w:line="208" w:lineRule="auto" w:before="4"/>
        <w:ind w:left="949" w:right="2696" w:hanging="3"/>
      </w:pPr>
      <w:r>
        <w:rPr/>
        <w:t>Σ </w:t>
      </w:r>
      <w:r>
        <w:rPr>
          <w:spacing w:val="-31"/>
        </w:rPr>
        <w:t>x</w:t>
      </w:r>
      <w:r>
        <w:rPr>
          <w:spacing w:val="-31"/>
          <w:position w:val="-3"/>
        </w:rPr>
        <w:t>̅ </w:t>
      </w:r>
      <w:r>
        <w:rPr/>
        <w:t>is the sum of the measured ambient water concentrations, and n</w:t>
      </w:r>
      <w:r>
        <w:rPr>
          <w:spacing w:val="-3"/>
        </w:rPr>
        <w:t> </w:t>
      </w:r>
      <w:r>
        <w:rPr/>
        <w:t>is</w:t>
      </w:r>
      <w:r>
        <w:rPr>
          <w:spacing w:val="-1"/>
        </w:rPr>
        <w:t> </w:t>
      </w:r>
      <w:r>
        <w:rPr/>
        <w:t>the</w:t>
        <w:tab/>
        <w:t>number of samples.</w:t>
      </w:r>
    </w:p>
    <w:p>
      <w:pPr>
        <w:pStyle w:val="BodyText"/>
        <w:spacing w:before="6"/>
        <w:rPr>
          <w:sz w:val="21"/>
        </w:rPr>
      </w:pPr>
    </w:p>
    <w:p>
      <w:pPr>
        <w:pStyle w:val="Heading1"/>
        <w:ind w:left="280"/>
      </w:pPr>
      <w:r>
        <w:rPr/>
        <w:t>Authorized Discharge</w:t>
      </w:r>
    </w:p>
    <w:p>
      <w:pPr>
        <w:pStyle w:val="BodyText"/>
        <w:ind w:left="280" w:right="1035"/>
      </w:pPr>
      <w:r>
        <w:rPr/>
        <w:t>Any discharge that is authorized pursuant to an NPDES permit or meets the conditions set forth in the Order. Any discharge that is authorized pursuant to an NPDES permit, waste discharge requirements, a conditional waiver of waste discharge requirements, or other appropriate order issued by the State or Los Angeles Water Board or complies with the requirements set forth in the Order.</w:t>
      </w:r>
    </w:p>
    <w:p>
      <w:pPr>
        <w:spacing w:after="0"/>
        <w:sectPr>
          <w:pgSz w:w="12240" w:h="15840"/>
          <w:pgMar w:header="728" w:footer="788" w:top="1540" w:bottom="980" w:left="1160" w:right="420"/>
        </w:sectPr>
      </w:pPr>
    </w:p>
    <w:p>
      <w:pPr>
        <w:pStyle w:val="BodyText"/>
        <w:spacing w:before="11"/>
        <w:rPr>
          <w:sz w:val="15"/>
        </w:rPr>
      </w:pPr>
    </w:p>
    <w:p>
      <w:pPr>
        <w:pStyle w:val="Heading1"/>
        <w:spacing w:before="92"/>
        <w:ind w:left="280"/>
      </w:pPr>
      <w:r>
        <w:rPr/>
        <w:t>Authorized Non-Stormwater Discharge (NSWD)</w:t>
      </w:r>
    </w:p>
    <w:p>
      <w:pPr>
        <w:pStyle w:val="BodyText"/>
        <w:ind w:left="280" w:right="1008"/>
      </w:pPr>
      <w:r>
        <w:rPr/>
        <w:t>Authorized non-stormwater discharges are discharges that are not composed entirely of stormwater and that are either: (1) separately regulated by an individual or general NPDES permit and allowed to discharge into the MS4 when in compliance with all NPDES permit conditions; (2) separately regulated by a conditional waiver of WDRs or WDRs for agricultural lands; (2) authorized by USEPA pursuant to sections 104(a) or 104(b) of the Comprehensive Environmental Response, Compensation, and Liability Act that either (i) will comply with water quality standards as ARARs under section 121(d)(2) of the Comprehensive Environmental Response, Compensation, and Liability Act or (ii) are subject to (a) a written waiver of ARARs by USEPA pursuant to section 121(d)(4) of the Comprehensive Environmental Response, Compensation, and Liability Act or (b) a written determination by USEPA that compliance with ARARs is not practicable considering the exigencies of the situation, pursuant to 40 CFR section 300.415(j); or</w:t>
      </w:r>
    </w:p>
    <w:p>
      <w:pPr>
        <w:pStyle w:val="ListParagraph"/>
        <w:numPr>
          <w:ilvl w:val="1"/>
          <w:numId w:val="5"/>
        </w:numPr>
        <w:tabs>
          <w:tab w:pos="641" w:val="left" w:leader="none"/>
        </w:tabs>
        <w:spacing w:line="240" w:lineRule="auto" w:before="1" w:after="0"/>
        <w:ind w:left="280" w:right="2240" w:firstLine="0"/>
        <w:jc w:val="left"/>
        <w:rPr>
          <w:sz w:val="24"/>
        </w:rPr>
      </w:pPr>
      <w:r>
        <w:rPr>
          <w:sz w:val="24"/>
        </w:rPr>
        <w:t>necessary for emergency responses purposes, including discharges from emergency firefighting</w:t>
      </w:r>
      <w:r>
        <w:rPr>
          <w:spacing w:val="-1"/>
          <w:sz w:val="24"/>
        </w:rPr>
        <w:t> </w:t>
      </w:r>
      <w:r>
        <w:rPr>
          <w:sz w:val="24"/>
        </w:rPr>
        <w:t>activities.</w:t>
      </w:r>
    </w:p>
    <w:p>
      <w:pPr>
        <w:pStyle w:val="BodyText"/>
        <w:spacing w:before="9"/>
        <w:rPr>
          <w:sz w:val="20"/>
        </w:rPr>
      </w:pPr>
    </w:p>
    <w:p>
      <w:pPr>
        <w:pStyle w:val="Heading1"/>
        <w:spacing w:before="1"/>
        <w:ind w:left="280"/>
      </w:pPr>
      <w:r>
        <w:rPr/>
        <w:t>Basin Plan</w:t>
      </w:r>
    </w:p>
    <w:p>
      <w:pPr>
        <w:spacing w:before="0"/>
        <w:ind w:left="280" w:right="1448" w:firstLine="0"/>
        <w:jc w:val="left"/>
        <w:rPr>
          <w:sz w:val="24"/>
        </w:rPr>
      </w:pPr>
      <w:r>
        <w:rPr>
          <w:sz w:val="24"/>
        </w:rPr>
        <w:t>The Water Quality Control Plan, Los Angeles Region, otherwise known as the </w:t>
      </w:r>
      <w:r>
        <w:rPr>
          <w:i/>
          <w:sz w:val="24"/>
        </w:rPr>
        <w:t>Basin </w:t>
      </w:r>
      <w:r>
        <w:rPr>
          <w:i/>
          <w:sz w:val="24"/>
        </w:rPr>
        <w:t>Plan for the Coastal Watersheds of Los Angeles and Ventura Counties</w:t>
      </w:r>
      <w:r>
        <w:rPr>
          <w:sz w:val="24"/>
        </w:rPr>
        <w:t>.</w:t>
      </w:r>
    </w:p>
    <w:p>
      <w:pPr>
        <w:pStyle w:val="BodyText"/>
        <w:spacing w:before="10"/>
        <w:rPr>
          <w:sz w:val="20"/>
        </w:rPr>
      </w:pPr>
    </w:p>
    <w:p>
      <w:pPr>
        <w:pStyle w:val="Heading1"/>
        <w:ind w:left="280"/>
      </w:pPr>
      <w:r>
        <w:rPr/>
        <w:t>Beneficial Uses</w:t>
      </w:r>
    </w:p>
    <w:p>
      <w:pPr>
        <w:pStyle w:val="BodyText"/>
        <w:ind w:left="280" w:right="1421"/>
      </w:pPr>
      <w:r>
        <w:rPr/>
        <w:t>As defined in the CWC, beneficial uses that may be protected against quality degradation, include but are not limited to, domestic, municipal, agricultural and industrial supply; power generation; recreation; aesthetic enjoyment; navigation; and preservation and enhancement of fish, wildlife, and other aquatic resources or preserves.</w:t>
      </w:r>
    </w:p>
    <w:p>
      <w:pPr>
        <w:pStyle w:val="BodyText"/>
        <w:spacing w:before="8"/>
        <w:rPr>
          <w:sz w:val="20"/>
        </w:rPr>
      </w:pPr>
    </w:p>
    <w:p>
      <w:pPr>
        <w:pStyle w:val="Heading1"/>
        <w:spacing w:before="1"/>
        <w:ind w:left="280"/>
      </w:pPr>
      <w:r>
        <w:rPr/>
        <w:t>Best Available Technology Economically Achievable (BAT)</w:t>
      </w:r>
    </w:p>
    <w:p>
      <w:pPr>
        <w:pStyle w:val="BodyText"/>
        <w:ind w:left="870" w:right="1170" w:hanging="591"/>
      </w:pPr>
      <w:r>
        <w:rPr/>
        <w:t>As defined by United States Environmental Protection Agency (U.S. EPA), BAT is a technology-based standard established by the Clean Water Act (CWA) as the most appropriate means available on a national basis for controlling the direct discharge of toxic and nonconventional pollutants to navigable waters. The BAT effluent limitations guidelines, in general, represent the best existing performance of treatment technologies that are economically achievable within an industrial point source category or subcategory.</w:t>
      </w:r>
    </w:p>
    <w:p>
      <w:pPr>
        <w:pStyle w:val="BodyText"/>
      </w:pPr>
    </w:p>
    <w:p>
      <w:pPr>
        <w:pStyle w:val="Heading1"/>
        <w:ind w:left="279"/>
      </w:pPr>
      <w:r>
        <w:rPr/>
        <w:t>Best Management Practices (BMPs)</w:t>
      </w:r>
    </w:p>
    <w:p>
      <w:pPr>
        <w:pStyle w:val="BodyText"/>
        <w:ind w:left="279" w:right="1437"/>
      </w:pPr>
      <w:r>
        <w:rPr/>
        <w:t>BMPs are practices or physical devices or systems designed to prevent or reduce pollutant loading from stormwater or non-stormwater discharges to receiving waters.</w:t>
      </w:r>
    </w:p>
    <w:p>
      <w:pPr>
        <w:pStyle w:val="BodyText"/>
        <w:spacing w:before="10"/>
        <w:rPr>
          <w:sz w:val="20"/>
        </w:rPr>
      </w:pPr>
    </w:p>
    <w:p>
      <w:pPr>
        <w:pStyle w:val="Heading1"/>
        <w:ind w:left="279"/>
      </w:pPr>
      <w:r>
        <w:rPr/>
        <w:t>Biofiltration</w:t>
      </w:r>
    </w:p>
    <w:p>
      <w:pPr>
        <w:pStyle w:val="BodyText"/>
        <w:ind w:left="279" w:right="1076"/>
      </w:pPr>
      <w:r>
        <w:rPr/>
        <w:t>A Low Impact Development (LID) BMP that reduces stormwater pollutant discharges by intercepting rainfall on vegetative canopy, and through incidental infiltration and/or evapotranspiration, and filtration. Planning level analyses described in the Ventura County Technical Guidance Manual estimate that biofiltration of 1.5 times the stormwater quality design volume provides approximately equivalent or greater</w:t>
      </w:r>
    </w:p>
    <w:p>
      <w:pPr>
        <w:spacing w:after="0"/>
        <w:sectPr>
          <w:pgSz w:w="12240" w:h="15840"/>
          <w:pgMar w:header="728" w:footer="788" w:top="1540" w:bottom="980" w:left="1160" w:right="420"/>
        </w:sectPr>
      </w:pPr>
    </w:p>
    <w:p>
      <w:pPr>
        <w:pStyle w:val="BodyText"/>
        <w:spacing w:before="11"/>
        <w:rPr>
          <w:sz w:val="15"/>
        </w:rPr>
      </w:pPr>
    </w:p>
    <w:p>
      <w:pPr>
        <w:pStyle w:val="BodyText"/>
        <w:spacing w:before="92"/>
        <w:ind w:left="279" w:right="1489"/>
      </w:pPr>
      <w:r>
        <w:rPr/>
        <w:t>reductions in pollutant loading when compared to bioretention or infiltration of the stormwater quality design volume. Incidental infiltration is an important factor in achieving the required pollutant load reduction. Therefore, the term “biofiltration” as used in the Order is defined to include only systems designed to facilitate incidental infiltration or achieve the equivalent pollutant reduction as biofiltration BMPs with an underdrain. Biofiltration BMPs include bioretention systems with an underdrain and bioswales.</w:t>
      </w:r>
    </w:p>
    <w:p>
      <w:pPr>
        <w:pStyle w:val="BodyText"/>
        <w:spacing w:before="10"/>
        <w:rPr>
          <w:sz w:val="20"/>
        </w:rPr>
      </w:pPr>
    </w:p>
    <w:p>
      <w:pPr>
        <w:pStyle w:val="Heading1"/>
        <w:ind w:left="280"/>
      </w:pPr>
      <w:r>
        <w:rPr/>
        <w:t>Bioretention</w:t>
      </w:r>
    </w:p>
    <w:p>
      <w:pPr>
        <w:pStyle w:val="BodyText"/>
        <w:ind w:left="279" w:right="1009"/>
      </w:pPr>
      <w:r>
        <w:rPr/>
        <w:t>A LID BMP reduces stormwater runoff by intercepting rainfall on vegetative canopy, and through evapotranspiration and infiltration. The bioretention system typically includes a minimum 2-foot top layer of a specified soil and compost mixture underlain by a gravel- filled temporary storage pit dug into the in-situ soil. As defined in the Order, a bioretention BMP may be designed with an overflow drain but may not include an underdrain. When a bioretention BMP is designed or constructed with an underdrain it is regulated in the Order as a biofiltration BMP.</w:t>
      </w:r>
    </w:p>
    <w:p>
      <w:pPr>
        <w:pStyle w:val="BodyText"/>
        <w:spacing w:before="10"/>
        <w:rPr>
          <w:sz w:val="20"/>
        </w:rPr>
      </w:pPr>
    </w:p>
    <w:p>
      <w:pPr>
        <w:pStyle w:val="Heading1"/>
        <w:spacing w:before="1"/>
        <w:ind w:left="279"/>
      </w:pPr>
      <w:r>
        <w:rPr/>
        <w:t>Bioswale</w:t>
      </w:r>
    </w:p>
    <w:p>
      <w:pPr>
        <w:pStyle w:val="BodyText"/>
        <w:ind w:left="279" w:right="1049"/>
      </w:pPr>
      <w:r>
        <w:rPr/>
        <w:t>A LID BMP consisting of a shallow channel lined with grass or other dense, low-growing vegetation. Bioswales are designed to collect stormwater runoff and to achieve a uniform sheet flow through the dense vegetation for a period of several minutes.</w:t>
      </w:r>
    </w:p>
    <w:p>
      <w:pPr>
        <w:pStyle w:val="BodyText"/>
        <w:spacing w:before="10"/>
        <w:rPr>
          <w:sz w:val="20"/>
        </w:rPr>
      </w:pPr>
    </w:p>
    <w:p>
      <w:pPr>
        <w:pStyle w:val="Heading1"/>
        <w:ind w:left="279"/>
      </w:pPr>
      <w:r>
        <w:rPr/>
        <w:t>Bypass</w:t>
      </w:r>
    </w:p>
    <w:p>
      <w:pPr>
        <w:pStyle w:val="BodyText"/>
        <w:ind w:left="279" w:right="1316"/>
      </w:pPr>
      <w:r>
        <w:rPr/>
        <w:t>The intentional diversion of waste streams from any portion of a treatment facility. (40 CFR section 122.41(m)(1)(i))</w:t>
      </w:r>
    </w:p>
    <w:p>
      <w:pPr>
        <w:pStyle w:val="BodyText"/>
        <w:spacing w:before="8"/>
        <w:rPr>
          <w:sz w:val="20"/>
        </w:rPr>
      </w:pPr>
    </w:p>
    <w:p>
      <w:pPr>
        <w:pStyle w:val="Heading1"/>
        <w:spacing w:before="1"/>
        <w:ind w:left="279"/>
      </w:pPr>
      <w:r>
        <w:rPr/>
        <w:t>Chain of Custody</w:t>
      </w:r>
    </w:p>
    <w:p>
      <w:pPr>
        <w:pStyle w:val="BodyText"/>
        <w:ind w:left="279" w:right="1143"/>
      </w:pPr>
      <w:r>
        <w:rPr/>
        <w:t>Form used to track sample handling as samples progress from sample collection to the laboratory. The chain of custody is also used to track the resulting analytical data from the laboratory to the client. Chain of custody forms can be obtained from an analytical laboratory upon request.</w:t>
      </w:r>
    </w:p>
    <w:p>
      <w:pPr>
        <w:pStyle w:val="BodyText"/>
        <w:spacing w:before="10"/>
        <w:rPr>
          <w:sz w:val="20"/>
        </w:rPr>
      </w:pPr>
    </w:p>
    <w:p>
      <w:pPr>
        <w:pStyle w:val="Heading1"/>
        <w:ind w:left="279"/>
      </w:pPr>
      <w:r>
        <w:rPr/>
        <w:t>Commercial, Industrial, and Institutional Sites (CII)</w:t>
      </w:r>
    </w:p>
    <w:p>
      <w:pPr>
        <w:pStyle w:val="BodyText"/>
        <w:ind w:left="279" w:right="1089"/>
      </w:pPr>
      <w:r>
        <w:rPr/>
        <w:t>Sites are classified as commercial, institutional, and industrial according to Los Angeles County Tax Assessor land use codes. (https://portal.assessor.lacounty.gov).</w:t>
      </w:r>
    </w:p>
    <w:p>
      <w:pPr>
        <w:pStyle w:val="BodyText"/>
        <w:spacing w:before="10"/>
        <w:rPr>
          <w:sz w:val="20"/>
        </w:rPr>
      </w:pPr>
    </w:p>
    <w:p>
      <w:pPr>
        <w:pStyle w:val="Heading1"/>
        <w:ind w:left="279"/>
      </w:pPr>
      <w:r>
        <w:rPr/>
        <w:t>Contained Stormwater</w:t>
      </w:r>
    </w:p>
    <w:p>
      <w:pPr>
        <w:pStyle w:val="BodyText"/>
        <w:ind w:left="279" w:right="1743"/>
      </w:pPr>
      <w:r>
        <w:rPr/>
        <w:t>Stormwater discharges or runoff from NSWDs or QSEs that have been contained and/or prevented from entering drainage systems.</w:t>
      </w:r>
    </w:p>
    <w:p>
      <w:pPr>
        <w:pStyle w:val="BodyText"/>
        <w:spacing w:before="10"/>
        <w:rPr>
          <w:sz w:val="20"/>
        </w:rPr>
      </w:pPr>
    </w:p>
    <w:p>
      <w:pPr>
        <w:pStyle w:val="Heading1"/>
        <w:ind w:left="279"/>
      </w:pPr>
      <w:r>
        <w:rPr/>
        <w:t>Debris</w:t>
      </w:r>
    </w:p>
    <w:p>
      <w:pPr>
        <w:pStyle w:val="BodyText"/>
        <w:ind w:left="279" w:right="1209"/>
      </w:pPr>
      <w:r>
        <w:rPr/>
        <w:t>Litter,</w:t>
      </w:r>
      <w:r>
        <w:rPr>
          <w:spacing w:val="-7"/>
        </w:rPr>
        <w:t> </w:t>
      </w:r>
      <w:r>
        <w:rPr/>
        <w:t>rubble,</w:t>
      </w:r>
      <w:r>
        <w:rPr>
          <w:spacing w:val="-6"/>
        </w:rPr>
        <w:t> </w:t>
      </w:r>
      <w:r>
        <w:rPr/>
        <w:t>discarded</w:t>
      </w:r>
      <w:r>
        <w:rPr>
          <w:spacing w:val="-6"/>
        </w:rPr>
        <w:t> </w:t>
      </w:r>
      <w:r>
        <w:rPr/>
        <w:t>refuse,</w:t>
      </w:r>
      <w:r>
        <w:rPr>
          <w:spacing w:val="-6"/>
        </w:rPr>
        <w:t> </w:t>
      </w:r>
      <w:r>
        <w:rPr/>
        <w:t>and</w:t>
      </w:r>
      <w:r>
        <w:rPr>
          <w:spacing w:val="-7"/>
        </w:rPr>
        <w:t> </w:t>
      </w:r>
      <w:r>
        <w:rPr/>
        <w:t>remains</w:t>
      </w:r>
      <w:r>
        <w:rPr>
          <w:spacing w:val="-6"/>
        </w:rPr>
        <w:t> </w:t>
      </w:r>
      <w:r>
        <w:rPr/>
        <w:t>of</w:t>
      </w:r>
      <w:r>
        <w:rPr>
          <w:spacing w:val="-6"/>
        </w:rPr>
        <w:t> </w:t>
      </w:r>
      <w:r>
        <w:rPr/>
        <w:t>destroyed</w:t>
      </w:r>
      <w:r>
        <w:rPr>
          <w:spacing w:val="-6"/>
        </w:rPr>
        <w:t> </w:t>
      </w:r>
      <w:r>
        <w:rPr/>
        <w:t>inorganic</w:t>
      </w:r>
      <w:r>
        <w:rPr>
          <w:spacing w:val="-7"/>
        </w:rPr>
        <w:t> </w:t>
      </w:r>
      <w:r>
        <w:rPr/>
        <w:t>anthropogenic waste.</w:t>
      </w:r>
    </w:p>
    <w:p>
      <w:pPr>
        <w:spacing w:after="0"/>
        <w:sectPr>
          <w:pgSz w:w="12240" w:h="15840"/>
          <w:pgMar w:header="728" w:footer="788" w:top="1540" w:bottom="980" w:left="1160" w:right="420"/>
        </w:sectPr>
      </w:pPr>
    </w:p>
    <w:p>
      <w:pPr>
        <w:pStyle w:val="BodyText"/>
        <w:spacing w:before="11"/>
        <w:rPr>
          <w:sz w:val="15"/>
        </w:rPr>
      </w:pPr>
    </w:p>
    <w:p>
      <w:pPr>
        <w:pStyle w:val="Heading1"/>
        <w:spacing w:before="92"/>
        <w:ind w:left="280"/>
      </w:pPr>
      <w:r>
        <w:rPr/>
        <w:t>Degrade</w:t>
      </w:r>
    </w:p>
    <w:p>
      <w:pPr>
        <w:pStyle w:val="BodyText"/>
        <w:ind w:left="279" w:right="1129"/>
      </w:pPr>
      <w:r>
        <w:rPr/>
        <w:t>Degradation shall be determined by comparison of the waste field and reference site(s) for characteristic species diversity, population density, contamination, growth anomalies, debility, or supplanting of normal species by undesirable plant and animal species. Degradation occurs if there are significant differences in any of three major biotic groups, namely, demersal fish, benthic invertebrates, or attached algae. Other groups may be evaluated where benthic species are not affected or are not the only ones affected.</w:t>
      </w:r>
    </w:p>
    <w:p>
      <w:pPr>
        <w:pStyle w:val="BodyText"/>
        <w:spacing w:before="10"/>
        <w:rPr>
          <w:sz w:val="20"/>
        </w:rPr>
      </w:pPr>
    </w:p>
    <w:p>
      <w:pPr>
        <w:pStyle w:val="Heading1"/>
        <w:ind w:left="279"/>
      </w:pPr>
      <w:r>
        <w:rPr/>
        <w:t>Detected, but Not Quantified (DNQ)</w:t>
      </w:r>
    </w:p>
    <w:p>
      <w:pPr>
        <w:pStyle w:val="BodyText"/>
        <w:ind w:left="279" w:right="1675"/>
      </w:pPr>
      <w:r>
        <w:rPr/>
        <w:t>Sample results that are less than the reported ML, but greater than or equal to the laboratory’s MDL. Sample results reported as DNQ are estimated concentrations.</w:t>
      </w:r>
    </w:p>
    <w:p>
      <w:pPr>
        <w:pStyle w:val="BodyText"/>
        <w:spacing w:before="10"/>
        <w:rPr>
          <w:sz w:val="20"/>
        </w:rPr>
      </w:pPr>
    </w:p>
    <w:p>
      <w:pPr>
        <w:pStyle w:val="Heading1"/>
        <w:spacing w:before="1"/>
        <w:ind w:left="279"/>
      </w:pPr>
      <w:r>
        <w:rPr/>
        <w:t>Development</w:t>
      </w:r>
    </w:p>
    <w:p>
      <w:pPr>
        <w:pStyle w:val="BodyText"/>
        <w:ind w:left="279" w:right="1076"/>
      </w:pPr>
      <w:r>
        <w:rPr/>
        <w:t>Any construction, rehabilitation, redevelopment, or reconstruction of any public or private residential project (whether single-family, multi-unit or planned unit development); industrial, commercial, retail and other non-residential projects, including public agency projects; or mass grading for future construction. It does not include routine maintenance to maintain original line and grade, hydraulic capacity, or original purpose of facility, nor does it include emergency construction activities required to immediately protect public health and safety.</w:t>
      </w:r>
    </w:p>
    <w:p>
      <w:pPr>
        <w:pStyle w:val="BodyText"/>
        <w:spacing w:before="10"/>
        <w:rPr>
          <w:sz w:val="20"/>
        </w:rPr>
      </w:pPr>
    </w:p>
    <w:p>
      <w:pPr>
        <w:pStyle w:val="Heading1"/>
        <w:ind w:left="279"/>
      </w:pPr>
      <w:r>
        <w:rPr/>
        <w:t>Discharge</w:t>
      </w:r>
    </w:p>
    <w:p>
      <w:pPr>
        <w:pStyle w:val="BodyText"/>
        <w:ind w:left="279"/>
      </w:pPr>
      <w:r>
        <w:rPr/>
        <w:t>When used without qualification the release of a pollutant or pollutants from the facility.</w:t>
      </w:r>
    </w:p>
    <w:p>
      <w:pPr>
        <w:pStyle w:val="BodyText"/>
        <w:spacing w:before="8"/>
        <w:rPr>
          <w:sz w:val="20"/>
        </w:rPr>
      </w:pPr>
    </w:p>
    <w:p>
      <w:pPr>
        <w:pStyle w:val="Heading1"/>
        <w:spacing w:before="1"/>
        <w:ind w:left="279"/>
      </w:pPr>
      <w:r>
        <w:rPr/>
        <w:t>Discharge Location</w:t>
      </w:r>
    </w:p>
    <w:p>
      <w:pPr>
        <w:pStyle w:val="BodyText"/>
        <w:ind w:left="279"/>
      </w:pPr>
      <w:r>
        <w:rPr/>
        <w:t>A location where the stormwater leaves a drainage area.</w:t>
      </w:r>
    </w:p>
    <w:p>
      <w:pPr>
        <w:pStyle w:val="BodyText"/>
        <w:spacing w:before="9"/>
        <w:rPr>
          <w:sz w:val="20"/>
        </w:rPr>
      </w:pPr>
    </w:p>
    <w:p>
      <w:pPr>
        <w:pStyle w:val="Heading1"/>
        <w:spacing w:before="1"/>
        <w:ind w:left="279"/>
      </w:pPr>
      <w:r>
        <w:rPr/>
        <w:t>Discharger</w:t>
      </w:r>
    </w:p>
    <w:p>
      <w:pPr>
        <w:pStyle w:val="BodyText"/>
        <w:ind w:left="280" w:right="1009"/>
      </w:pPr>
      <w:r>
        <w:rPr/>
        <w:t>The discharger is the owner or operator of the CII facility, whoever has the authority and operational control to comply with all conditions of this General Permit, including preparing and implementing the SWPPP and either (1) entering into a legally binding agreement with a local Watershed Management Group, (2) operating and maintaining stormwater controls to address the volume of runoff produced by an 85th percentile 24- hour storm event, or (3) implementing monitoring and reporting requirements and stormwater controls to directly demonstrate compliance with water quality based effluent limitations. The owner is the owner of the parcel subject to this General Permit. The operator is the lessee of the parcel subject to this General Permit.</w:t>
      </w:r>
    </w:p>
    <w:p>
      <w:pPr>
        <w:pStyle w:val="BodyText"/>
        <w:spacing w:before="10"/>
        <w:rPr>
          <w:sz w:val="20"/>
        </w:rPr>
      </w:pPr>
    </w:p>
    <w:p>
      <w:pPr>
        <w:pStyle w:val="BodyText"/>
        <w:spacing w:line="259" w:lineRule="auto"/>
        <w:ind w:left="870" w:right="1058"/>
      </w:pPr>
      <w:r>
        <w:rPr/>
        <w:t>When a parcel is leased to multiple lessees, the owner of the parcel shall serve as the Discharger.</w:t>
      </w:r>
    </w:p>
    <w:p>
      <w:pPr>
        <w:pStyle w:val="BodyText"/>
        <w:spacing w:line="259" w:lineRule="auto" w:before="160"/>
        <w:ind w:left="870" w:right="1138"/>
      </w:pPr>
      <w:r>
        <w:rPr/>
        <w:t>Where multiple qualifying parcels owned by different entities are forming a common development, the owner and/or operator of each parcel that is subject to this General Permit must obtain separate permit coverage.</w:t>
      </w:r>
    </w:p>
    <w:p>
      <w:pPr>
        <w:spacing w:after="0" w:line="259" w:lineRule="auto"/>
        <w:sectPr>
          <w:pgSz w:w="12240" w:h="15840"/>
          <w:pgMar w:header="728" w:footer="788" w:top="1540" w:bottom="980" w:left="1160" w:right="420"/>
        </w:sectPr>
      </w:pPr>
    </w:p>
    <w:p>
      <w:pPr>
        <w:pStyle w:val="BodyText"/>
        <w:spacing w:before="11"/>
        <w:rPr>
          <w:sz w:val="15"/>
        </w:rPr>
      </w:pPr>
    </w:p>
    <w:p>
      <w:pPr>
        <w:pStyle w:val="Heading1"/>
        <w:spacing w:before="92"/>
        <w:ind w:left="280"/>
      </w:pPr>
      <w:r>
        <w:rPr/>
        <w:t>Drainage Area</w:t>
      </w:r>
    </w:p>
    <w:p>
      <w:pPr>
        <w:pStyle w:val="BodyText"/>
        <w:ind w:left="870" w:right="1596" w:hanging="591"/>
      </w:pPr>
      <w:r>
        <w:rPr/>
        <w:t>The area of land that drains water, sediment, pollutants, and dissolved materials to common discharge location.</w:t>
      </w:r>
    </w:p>
    <w:p>
      <w:pPr>
        <w:pStyle w:val="BodyText"/>
        <w:spacing w:before="10"/>
        <w:rPr>
          <w:sz w:val="20"/>
        </w:rPr>
      </w:pPr>
    </w:p>
    <w:p>
      <w:pPr>
        <w:pStyle w:val="Heading1"/>
        <w:ind w:left="279"/>
      </w:pPr>
      <w:r>
        <w:rPr/>
        <w:t>Dry Well</w:t>
      </w:r>
    </w:p>
    <w:p>
      <w:pPr>
        <w:pStyle w:val="BodyText"/>
        <w:ind w:left="279" w:right="1169"/>
      </w:pPr>
      <w:r>
        <w:rPr/>
        <w:t>Dry wells are gravity-fed excavated pits lined with perforated casing and backfilled with gravel or stone. Dry wells assist in reaching more permeable layers of soil, allowing for more rapid infiltration of stormwater. They are used to reduce pollutants in stormwater via infiltration. Dry wells not only aid in stormwater runoff reduction, but they can also increase groundwater recharge. Also referred to as stormwater infiltration drywells.</w:t>
      </w:r>
    </w:p>
    <w:p>
      <w:pPr>
        <w:pStyle w:val="BodyText"/>
      </w:pPr>
    </w:p>
    <w:p>
      <w:pPr>
        <w:pStyle w:val="Heading1"/>
        <w:ind w:left="279"/>
      </w:pPr>
      <w:r>
        <w:rPr/>
        <w:t>Effluent</w:t>
      </w:r>
    </w:p>
    <w:p>
      <w:pPr>
        <w:pStyle w:val="BodyText"/>
        <w:spacing w:before="1"/>
        <w:ind w:left="279" w:right="1355"/>
      </w:pPr>
      <w:r>
        <w:rPr/>
        <w:t>Any discharge of water either to the receiving water or beyond the property boundary controlled by the Discharger.</w:t>
      </w:r>
    </w:p>
    <w:p>
      <w:pPr>
        <w:pStyle w:val="BodyText"/>
        <w:spacing w:before="9"/>
        <w:rPr>
          <w:sz w:val="20"/>
        </w:rPr>
      </w:pPr>
    </w:p>
    <w:p>
      <w:pPr>
        <w:pStyle w:val="Heading1"/>
        <w:spacing w:before="1"/>
        <w:ind w:left="279"/>
      </w:pPr>
      <w:r>
        <w:rPr/>
        <w:t>Effluent Limitation</w:t>
      </w:r>
    </w:p>
    <w:p>
      <w:pPr>
        <w:pStyle w:val="BodyText"/>
        <w:ind w:left="279" w:right="1075"/>
      </w:pPr>
      <w:r>
        <w:rPr/>
        <w:t>Any restriction imposed on quantities, discharge rates, and concentrations of pollutants, which are discharged from point sources to waters of the U.S. (40 CFR § 122.2).</w:t>
      </w:r>
    </w:p>
    <w:p>
      <w:pPr>
        <w:pStyle w:val="BodyText"/>
        <w:spacing w:before="9"/>
        <w:rPr>
          <w:sz w:val="20"/>
        </w:rPr>
      </w:pPr>
    </w:p>
    <w:p>
      <w:pPr>
        <w:pStyle w:val="Heading1"/>
        <w:spacing w:before="1"/>
        <w:ind w:left="279"/>
        <w:jc w:val="both"/>
      </w:pPr>
      <w:r>
        <w:rPr/>
        <w:t>Emergency Situation</w:t>
      </w:r>
    </w:p>
    <w:p>
      <w:pPr>
        <w:pStyle w:val="BodyText"/>
        <w:spacing w:line="237" w:lineRule="auto" w:before="2"/>
        <w:ind w:left="279" w:right="1053"/>
        <w:jc w:val="both"/>
      </w:pPr>
      <w:r>
        <w:rPr/>
        <w:t>Any incident, whether natural, technological, or human-caused, that requires responsive action to protect life or property</w:t>
      </w:r>
      <w:r>
        <w:rPr>
          <w:position w:val="8"/>
          <w:sz w:val="16"/>
        </w:rPr>
        <w:t>1</w:t>
      </w:r>
      <w:r>
        <w:rPr/>
        <w:t>. The responsive action should implement measures, to the fullest extent possible, to reduce the threat to water quality.</w:t>
      </w:r>
    </w:p>
    <w:p>
      <w:pPr>
        <w:pStyle w:val="BodyText"/>
        <w:spacing w:before="11"/>
        <w:rPr>
          <w:sz w:val="20"/>
        </w:rPr>
      </w:pPr>
    </w:p>
    <w:p>
      <w:pPr>
        <w:pStyle w:val="Heading1"/>
        <w:spacing w:line="275" w:lineRule="exact"/>
        <w:ind w:left="280"/>
      </w:pPr>
      <w:r>
        <w:rPr/>
        <w:t>Erosion</w:t>
      </w:r>
    </w:p>
    <w:p>
      <w:pPr>
        <w:pStyle w:val="BodyText"/>
        <w:ind w:left="280" w:right="1621"/>
      </w:pPr>
      <w:r>
        <w:rPr/>
        <w:t>The process by which soil particles are detached and transported by the actions of wind, water or gravity.</w:t>
      </w:r>
    </w:p>
    <w:p>
      <w:pPr>
        <w:pStyle w:val="BodyText"/>
        <w:spacing w:before="9"/>
        <w:rPr>
          <w:sz w:val="20"/>
        </w:rPr>
      </w:pPr>
    </w:p>
    <w:p>
      <w:pPr>
        <w:pStyle w:val="Heading1"/>
        <w:spacing w:before="1"/>
        <w:ind w:left="280"/>
        <w:jc w:val="both"/>
      </w:pPr>
      <w:r>
        <w:rPr/>
        <w:t>Estimated Chemical Concentrations</w:t>
      </w:r>
    </w:p>
    <w:p>
      <w:pPr>
        <w:pStyle w:val="BodyText"/>
        <w:ind w:left="280" w:right="1302"/>
      </w:pPr>
      <w:r>
        <w:rPr/>
        <w:t>The estimated chemical concentration that results from the confirmed detection of the substance by an analytical method which results in a value below the ML.</w:t>
      </w:r>
    </w:p>
    <w:p>
      <w:pPr>
        <w:pStyle w:val="BodyText"/>
        <w:spacing w:before="9"/>
        <w:rPr>
          <w:sz w:val="20"/>
        </w:rPr>
      </w:pPr>
    </w:p>
    <w:p>
      <w:pPr>
        <w:pStyle w:val="Heading1"/>
        <w:spacing w:before="1"/>
        <w:ind w:left="280"/>
      </w:pPr>
      <w:r>
        <w:rPr/>
        <w:t>Existing Discharger</w:t>
      </w:r>
    </w:p>
    <w:p>
      <w:pPr>
        <w:pStyle w:val="BodyText"/>
        <w:ind w:left="280" w:right="1249"/>
      </w:pPr>
      <w:r>
        <w:rPr/>
        <w:t>Any discharger that is not a new discharger. An existing discharger includes an “increasing discharger” (i.e., any existing facility with treatment systems in place for its current discharge that is or will be expanding, upgrading, or modifying its permitted discharge after the effective date of the Order).</w:t>
      </w:r>
    </w:p>
    <w:p>
      <w:pPr>
        <w:pStyle w:val="BodyText"/>
      </w:pPr>
    </w:p>
    <w:p>
      <w:pPr>
        <w:pStyle w:val="Heading1"/>
        <w:ind w:left="280"/>
        <w:jc w:val="both"/>
      </w:pPr>
      <w:r>
        <w:rPr/>
        <w:t>Fiduciary Agent</w:t>
      </w:r>
    </w:p>
    <w:p>
      <w:pPr>
        <w:pStyle w:val="BodyText"/>
        <w:ind w:left="280" w:right="1381"/>
      </w:pPr>
      <w:r>
        <w:rPr/>
        <w:t>The person acting for the benefit of another party as a bona fide trustee, executor, or administrator.</w:t>
      </w:r>
    </w:p>
    <w:p>
      <w:pPr>
        <w:pStyle w:val="BodyText"/>
        <w:spacing w:before="5"/>
        <w:rPr>
          <w:sz w:val="25"/>
        </w:rPr>
      </w:pPr>
      <w:r>
        <w:rPr/>
        <w:pict>
          <v:shape style="position:absolute;margin-left:72pt;margin-top:16.904970pt;width:144pt;height:.1pt;mso-position-horizontal-relative:page;mso-position-vertical-relative:paragraph;z-index:-251653120;mso-wrap-distance-left:0;mso-wrap-distance-right:0" coordorigin="1440,338" coordsize="2880,0" path="m1440,338l4320,338e" filled="false" stroked="true" strokeweight=".600010pt" strokecolor="#000000">
            <v:path arrowok="t"/>
            <v:stroke dashstyle="solid"/>
            <w10:wrap type="topAndBottom"/>
          </v:shape>
        </w:pict>
      </w:r>
    </w:p>
    <w:p>
      <w:pPr>
        <w:pStyle w:val="BodyText"/>
        <w:rPr>
          <w:sz w:val="20"/>
        </w:rPr>
      </w:pPr>
    </w:p>
    <w:p>
      <w:pPr>
        <w:pStyle w:val="BodyText"/>
        <w:spacing w:before="5"/>
        <w:rPr>
          <w:sz w:val="22"/>
        </w:rPr>
      </w:pPr>
    </w:p>
    <w:p>
      <w:pPr>
        <w:pStyle w:val="BodyText"/>
        <w:spacing w:before="95"/>
        <w:ind w:left="280"/>
      </w:pPr>
      <w:r>
        <w:rPr>
          <w:position w:val="8"/>
          <w:sz w:val="16"/>
        </w:rPr>
        <w:t>1 </w:t>
      </w:r>
      <w:r>
        <w:rPr/>
        <w:t>As defined by the Federal Emergency Management Agency (FEMA)</w:t>
      </w:r>
    </w:p>
    <w:p>
      <w:pPr>
        <w:spacing w:after="0"/>
        <w:sectPr>
          <w:pgSz w:w="12240" w:h="15840"/>
          <w:pgMar w:header="728" w:footer="788" w:top="1540" w:bottom="980" w:left="1160" w:right="420"/>
        </w:sectPr>
      </w:pPr>
    </w:p>
    <w:p>
      <w:pPr>
        <w:pStyle w:val="BodyText"/>
        <w:rPr>
          <w:sz w:val="20"/>
        </w:rPr>
      </w:pPr>
    </w:p>
    <w:p>
      <w:pPr>
        <w:pStyle w:val="BodyText"/>
        <w:spacing w:before="11"/>
        <w:rPr>
          <w:sz w:val="19"/>
        </w:rPr>
      </w:pPr>
    </w:p>
    <w:p>
      <w:pPr>
        <w:pStyle w:val="Heading1"/>
        <w:spacing w:before="92"/>
        <w:ind w:left="280"/>
      </w:pPr>
      <w:r>
        <w:rPr/>
        <w:t>Freshwater</w:t>
      </w:r>
    </w:p>
    <w:p>
      <w:pPr>
        <w:pStyle w:val="BodyText"/>
        <w:ind w:left="280" w:right="1421"/>
      </w:pPr>
      <w:r>
        <w:rPr/>
        <w:t>All waters where the salinity is equal to or less than 1 ppt (one part per thousand) 95 percent or more of the time during the water year.</w:t>
      </w:r>
    </w:p>
    <w:p>
      <w:pPr>
        <w:pStyle w:val="BodyText"/>
        <w:spacing w:before="10"/>
        <w:rPr>
          <w:sz w:val="20"/>
        </w:rPr>
      </w:pPr>
    </w:p>
    <w:p>
      <w:pPr>
        <w:pStyle w:val="Heading1"/>
        <w:ind w:left="280"/>
      </w:pPr>
      <w:r>
        <w:rPr/>
        <w:t>Full Capture System</w:t>
      </w:r>
    </w:p>
    <w:p>
      <w:pPr>
        <w:pStyle w:val="BodyText"/>
        <w:ind w:left="280" w:right="1068"/>
      </w:pPr>
      <w:r>
        <w:rPr/>
        <w:t>A treatment control, or series of treatment controls, including but not limited to, a multi- benefit project or a low impact development control that traps all particles that are 5 mm or greater, and has a design treatment capacity that is either: a) of not less than the peak flow rate, Q, resulting from a one-year, one-hour, storm in the subdrainage area, or b) appropriately sized to, and designed to carry at least the same flows as, the corresponding storm drain.</w:t>
      </w:r>
    </w:p>
    <w:p>
      <w:pPr>
        <w:pStyle w:val="BodyText"/>
        <w:spacing w:before="10"/>
        <w:rPr>
          <w:sz w:val="20"/>
        </w:rPr>
      </w:pPr>
    </w:p>
    <w:p>
      <w:pPr>
        <w:pStyle w:val="BodyText"/>
        <w:spacing w:before="1"/>
        <w:ind w:left="280" w:right="1315"/>
      </w:pPr>
      <w:r>
        <w:rPr/>
        <w:t>The rational equation is used to compute the peak flow rate: Q = C x I x A, where Q = design flow rate (cubic feet per second); C = runoff coefficient (dimensionless); I = design rainfall intensity (inches per hour, as determined per the rainfall isohyetal map specific to each region, and A = subdrainage area (acres).</w:t>
      </w:r>
    </w:p>
    <w:p>
      <w:pPr>
        <w:pStyle w:val="BodyText"/>
        <w:spacing w:before="9"/>
        <w:rPr>
          <w:sz w:val="20"/>
        </w:rPr>
      </w:pPr>
    </w:p>
    <w:p>
      <w:pPr>
        <w:pStyle w:val="BodyText"/>
        <w:spacing w:before="1"/>
        <w:ind w:left="280" w:right="1196"/>
      </w:pPr>
      <w:r>
        <w:rPr/>
        <w:t>Prior to installation, full capture systems must be certified by the Executive Director, or designee of the State Water Board. Uncertified full capture systems will not satisfy the requirements in the Order pertaining to trash. Full capture systems previously certified by the Los Angeles Water Board Executive Officer may also be used. There are nine Los Angeles Water Board Executive Officer-certified full capture systems, including Vortex Separation Systems (VSS), specific types or designs of trash nets; two gross solids removal devices (GSRDs); catch basin brush inserts and mesh screens; vertical and horizontal trash capture screen inserts; a connector pipe screen device; and a nutrient separating baffle box.</w:t>
      </w:r>
    </w:p>
    <w:p>
      <w:pPr>
        <w:pStyle w:val="BodyText"/>
        <w:spacing w:before="8"/>
        <w:rPr>
          <w:sz w:val="20"/>
        </w:rPr>
      </w:pPr>
    </w:p>
    <w:p>
      <w:pPr>
        <w:pStyle w:val="Heading1"/>
        <w:spacing w:before="1"/>
        <w:ind w:left="280"/>
      </w:pPr>
      <w:r>
        <w:rPr/>
        <w:t>Good Housekeeping</w:t>
      </w:r>
      <w:r>
        <w:rPr>
          <w:spacing w:val="-17"/>
        </w:rPr>
        <w:t> </w:t>
      </w:r>
      <w:r>
        <w:rPr/>
        <w:t>BMPs</w:t>
      </w:r>
    </w:p>
    <w:p>
      <w:pPr>
        <w:pStyle w:val="BodyText"/>
        <w:ind w:left="280" w:right="1554"/>
      </w:pPr>
      <w:r>
        <w:rPr/>
        <w:t>BMPs designed to reduce or eliminate the addition of pollutants through analysis of pollutant sources, implementation of proper handling/disposal practices, employee education, and other</w:t>
      </w:r>
      <w:r>
        <w:rPr>
          <w:spacing w:val="-1"/>
        </w:rPr>
        <w:t> </w:t>
      </w:r>
      <w:r>
        <w:rPr/>
        <w:t>actions.</w:t>
      </w:r>
    </w:p>
    <w:p>
      <w:pPr>
        <w:pStyle w:val="BodyText"/>
        <w:spacing w:before="10"/>
        <w:rPr>
          <w:sz w:val="20"/>
        </w:rPr>
      </w:pPr>
    </w:p>
    <w:p>
      <w:pPr>
        <w:pStyle w:val="Heading1"/>
        <w:ind w:left="280"/>
      </w:pPr>
      <w:r>
        <w:rPr/>
        <w:t>Green Roof</w:t>
      </w:r>
    </w:p>
    <w:p>
      <w:pPr>
        <w:pStyle w:val="BodyText"/>
        <w:ind w:left="280" w:right="1020"/>
      </w:pPr>
      <w:r>
        <w:rPr/>
        <w:t>A LID BMP using planter boxes and vegetation to intercept rainfall on a roof surface. Rainfall is intercepted by vegetation leaves and through evapotranspiration. Green roofs may be designed as either a bioretention BMP or as a biofiltration BMP. To receive credit as a bioretention BMP, the green roof system planting medium shall be of sufficient depth to provide capacity within the pore space volume to contain the design storm depth and may not be designed or constructed with an underdrain.</w:t>
      </w:r>
    </w:p>
    <w:p>
      <w:pPr>
        <w:pStyle w:val="BodyText"/>
        <w:spacing w:before="10"/>
        <w:rPr>
          <w:sz w:val="20"/>
        </w:rPr>
      </w:pPr>
    </w:p>
    <w:p>
      <w:pPr>
        <w:pStyle w:val="Heading1"/>
        <w:ind w:left="280"/>
      </w:pPr>
      <w:r>
        <w:rPr/>
        <w:t>Groundwater</w:t>
      </w:r>
    </w:p>
    <w:p>
      <w:pPr>
        <w:pStyle w:val="BodyText"/>
        <w:ind w:left="280" w:right="1035"/>
      </w:pPr>
      <w:r>
        <w:rPr/>
        <w:t>The water beneath the surface of the earth within the zone below the water table in which the soil is completely saturated with water.</w:t>
      </w:r>
    </w:p>
    <w:p>
      <w:pPr>
        <w:spacing w:after="0"/>
        <w:sectPr>
          <w:pgSz w:w="12240" w:h="15840"/>
          <w:pgMar w:header="728" w:footer="788" w:top="1540" w:bottom="980" w:left="1160" w:right="420"/>
        </w:sectPr>
      </w:pPr>
    </w:p>
    <w:p>
      <w:pPr>
        <w:pStyle w:val="BodyText"/>
        <w:spacing w:before="11"/>
        <w:rPr>
          <w:sz w:val="15"/>
        </w:rPr>
      </w:pPr>
    </w:p>
    <w:p>
      <w:pPr>
        <w:pStyle w:val="Heading1"/>
        <w:spacing w:before="92"/>
        <w:ind w:left="280"/>
      </w:pPr>
      <w:r>
        <w:rPr/>
        <w:t>Hydrologic Unit Code (HUC)</w:t>
      </w:r>
    </w:p>
    <w:p>
      <w:pPr>
        <w:pStyle w:val="BodyText"/>
        <w:ind w:left="279" w:right="1036"/>
      </w:pPr>
      <w:r>
        <w:rPr/>
        <w:t>A standardized watershed classification system in which each hydrologic unit is identified by a unique HUC. The HUC may consist of an eight (8) to twelve (12) digit number. The 8-digit HUC identifies an area based on four levels of classification: region, sub-region, hydrologic basin, and hydrologic sub-basin. The Watershed Boundary Dataset includes the 12-digit HUC delineation, which further divides each hydrologic unit into watersheds and sub-watersheds based on scientific information and not administrative boundaries. The Watershed Boundary Dataset is the highest resolution and the most detailed delineation of the watershed boundaries. The mapping precision has been improved to a scale of</w:t>
      </w:r>
      <w:r>
        <w:rPr>
          <w:spacing w:val="-3"/>
        </w:rPr>
        <w:t> </w:t>
      </w:r>
      <w:r>
        <w:rPr/>
        <w:t>1:24,000.</w:t>
      </w:r>
    </w:p>
    <w:p>
      <w:pPr>
        <w:pStyle w:val="BodyText"/>
        <w:spacing w:before="10"/>
        <w:rPr>
          <w:sz w:val="20"/>
        </w:rPr>
      </w:pPr>
    </w:p>
    <w:p>
      <w:pPr>
        <w:pStyle w:val="Heading1"/>
        <w:ind w:left="279"/>
      </w:pPr>
      <w:r>
        <w:rPr/>
        <w:t>Impervious Surface</w:t>
      </w:r>
    </w:p>
    <w:p>
      <w:pPr>
        <w:pStyle w:val="BodyText"/>
        <w:spacing w:before="1"/>
        <w:ind w:left="279" w:right="1035"/>
      </w:pPr>
      <w:r>
        <w:rPr/>
        <w:t>Any surface in the urban landscape that cannot effectively absorb or infiltrate rainfall; for example, driveways, sidewalks, rooftops, roads (including gravel roads), compacted soils, and parking lots.</w:t>
      </w:r>
    </w:p>
    <w:p>
      <w:pPr>
        <w:pStyle w:val="BodyText"/>
        <w:spacing w:before="11"/>
        <w:rPr>
          <w:sz w:val="23"/>
        </w:rPr>
      </w:pPr>
    </w:p>
    <w:p>
      <w:pPr>
        <w:pStyle w:val="Heading1"/>
        <w:ind w:left="279"/>
      </w:pPr>
      <w:r>
        <w:rPr/>
        <w:t>Imperviousness</w:t>
      </w:r>
    </w:p>
    <w:p>
      <w:pPr>
        <w:pStyle w:val="BodyText"/>
        <w:ind w:left="279" w:right="1382"/>
      </w:pPr>
      <w:r>
        <w:rPr/>
        <w:t>The percentage of impervious cover by area within a development site or watershed, often calculated by identifying impervious surface from aerial photographs or maps.</w:t>
      </w:r>
    </w:p>
    <w:p>
      <w:pPr>
        <w:pStyle w:val="BodyText"/>
      </w:pPr>
    </w:p>
    <w:p>
      <w:pPr>
        <w:pStyle w:val="Heading1"/>
        <w:ind w:left="279"/>
      </w:pPr>
      <w:r>
        <w:rPr/>
        <w:t>Industrial General Permit</w:t>
      </w:r>
    </w:p>
    <w:p>
      <w:pPr>
        <w:pStyle w:val="BodyText"/>
        <w:ind w:left="279" w:right="1064"/>
      </w:pPr>
      <w:r>
        <w:rPr/>
        <w:t>General Permit for Stormwater Discharges Associated with Industrial Activities. General NPDES permit issued by the State Water Board, which authorizes the discharge of stormwater from certain industrial activities under certain conditions.</w:t>
      </w:r>
    </w:p>
    <w:p>
      <w:pPr>
        <w:pStyle w:val="BodyText"/>
        <w:spacing w:before="9"/>
        <w:rPr>
          <w:sz w:val="20"/>
        </w:rPr>
      </w:pPr>
    </w:p>
    <w:p>
      <w:pPr>
        <w:pStyle w:val="Heading1"/>
        <w:ind w:left="279"/>
      </w:pPr>
      <w:r>
        <w:rPr/>
        <w:t>Industrial Materials</w:t>
      </w:r>
    </w:p>
    <w:p>
      <w:pPr>
        <w:pStyle w:val="BodyText"/>
        <w:ind w:left="279" w:right="1009"/>
      </w:pPr>
      <w:r>
        <w:rPr/>
        <w:t>Includes, but is not limited to: raw materials, recyclable materials, intermediate products, final products, by product, waste products, fuels, materials such as solvents, detergents, and plastic pellets; finished materials such as metallic products; raw materials used in food processing or production; hazardous substances designated under section 101(14) of CERLCA; any chemical the facility is required to report pursuant to section 313 of title III of Superfund Amendments and Reauthorization Act; fertilizers; pesticides; and waste products such as ashes, slag, and sludge and that are used, handled, stored, or disposed in relation to a facility’s industrial activity.</w:t>
      </w:r>
    </w:p>
    <w:p>
      <w:pPr>
        <w:pStyle w:val="BodyText"/>
        <w:spacing w:before="10"/>
        <w:rPr>
          <w:sz w:val="20"/>
        </w:rPr>
      </w:pPr>
    </w:p>
    <w:p>
      <w:pPr>
        <w:pStyle w:val="Heading1"/>
        <w:ind w:left="279"/>
      </w:pPr>
      <w:r>
        <w:rPr/>
        <w:t>Infiltration BMP</w:t>
      </w:r>
    </w:p>
    <w:p>
      <w:pPr>
        <w:pStyle w:val="BodyText"/>
        <w:ind w:left="279" w:right="1049"/>
      </w:pPr>
      <w:r>
        <w:rPr/>
        <w:t>A LID BMP that reduces stormwater runoff by capturing and infiltrating the runoff into in- situ soils or amended on-site soils. Examples of infiltration BMPs include infiltration basins, dry wells, and pervious pavement.</w:t>
      </w:r>
    </w:p>
    <w:p>
      <w:pPr>
        <w:pStyle w:val="BodyText"/>
        <w:spacing w:before="10"/>
        <w:rPr>
          <w:sz w:val="20"/>
        </w:rPr>
      </w:pPr>
    </w:p>
    <w:p>
      <w:pPr>
        <w:pStyle w:val="Heading1"/>
        <w:ind w:left="279"/>
      </w:pPr>
      <w:r>
        <w:rPr/>
        <w:t>Instantaneous Maximum Effluent Limitation</w:t>
      </w:r>
    </w:p>
    <w:p>
      <w:pPr>
        <w:pStyle w:val="BodyText"/>
        <w:ind w:left="279" w:right="1102"/>
      </w:pPr>
      <w:r>
        <w:rPr/>
        <w:t>The highest allowable value for any single grab sample or aliquot (i.e., each grab sample or aliquot is independently compared to the instantaneous maximum limitation).</w:t>
      </w:r>
    </w:p>
    <w:p>
      <w:pPr>
        <w:spacing w:after="0"/>
        <w:sectPr>
          <w:pgSz w:w="12240" w:h="15840"/>
          <w:pgMar w:header="728" w:footer="788" w:top="1540" w:bottom="980" w:left="1160" w:right="420"/>
        </w:sectPr>
      </w:pPr>
    </w:p>
    <w:p>
      <w:pPr>
        <w:pStyle w:val="BodyText"/>
        <w:spacing w:before="11"/>
        <w:rPr>
          <w:sz w:val="15"/>
        </w:rPr>
      </w:pPr>
    </w:p>
    <w:p>
      <w:pPr>
        <w:pStyle w:val="Heading1"/>
        <w:spacing w:before="92"/>
        <w:ind w:left="280"/>
      </w:pPr>
      <w:r>
        <w:rPr/>
        <w:t>Instantaneous Minimum Effluent Limitation</w:t>
      </w:r>
    </w:p>
    <w:p>
      <w:pPr>
        <w:pStyle w:val="BodyText"/>
        <w:ind w:left="280" w:right="1048"/>
      </w:pPr>
      <w:r>
        <w:rPr/>
        <w:t>The lowest allowable value for any single grab sample or aliquot (i.e., each grab sample or aliquot is independently compared to the instantaneous minimum limitation).</w:t>
      </w:r>
    </w:p>
    <w:p>
      <w:pPr>
        <w:pStyle w:val="BodyText"/>
        <w:spacing w:before="10"/>
        <w:rPr>
          <w:sz w:val="20"/>
        </w:rPr>
      </w:pPr>
    </w:p>
    <w:p>
      <w:pPr>
        <w:pStyle w:val="Heading1"/>
        <w:ind w:left="279"/>
      </w:pPr>
      <w:r>
        <w:rPr/>
        <w:t>Institutional Controls</w:t>
      </w:r>
    </w:p>
    <w:p>
      <w:pPr>
        <w:pStyle w:val="BodyText"/>
        <w:ind w:left="279" w:right="1302"/>
      </w:pPr>
      <w:r>
        <w:rPr/>
        <w:t>Programmatic measures that do not require construction or structural modifications. Examples include street sweeping, public education, and cleaning out of catch basins that discharge to storm drains.</w:t>
      </w:r>
    </w:p>
    <w:p>
      <w:pPr>
        <w:pStyle w:val="BodyText"/>
      </w:pPr>
    </w:p>
    <w:p>
      <w:pPr>
        <w:pStyle w:val="Heading1"/>
        <w:ind w:left="279"/>
      </w:pPr>
      <w:r>
        <w:rPr/>
        <w:t>Low Impact Development (LID)</w:t>
      </w:r>
    </w:p>
    <w:p>
      <w:pPr>
        <w:pStyle w:val="BodyText"/>
        <w:ind w:left="279" w:right="1082"/>
      </w:pPr>
      <w:r>
        <w:rPr/>
        <w:t>The implementation of systems and practices that use or mimic natural processes to: 1) infiltrate and recharge, 2) evapotranspire, and/or 3) harvest and use precipitation near to where it falls to earth.</w:t>
      </w:r>
    </w:p>
    <w:p>
      <w:pPr>
        <w:pStyle w:val="BodyText"/>
        <w:spacing w:before="10"/>
        <w:rPr>
          <w:sz w:val="20"/>
        </w:rPr>
      </w:pPr>
    </w:p>
    <w:p>
      <w:pPr>
        <w:pStyle w:val="Heading1"/>
        <w:spacing w:before="1"/>
        <w:ind w:left="279"/>
      </w:pPr>
      <w:r>
        <w:rPr/>
        <w:t>Los Angeles Region</w:t>
      </w:r>
    </w:p>
    <w:p>
      <w:pPr>
        <w:pStyle w:val="BodyText"/>
        <w:ind w:left="279" w:right="1075"/>
      </w:pPr>
      <w:r>
        <w:rPr/>
        <w:t>Los Angeles Region comprises all basins draining into the Pacific Ocean between the southeasterly boundary, located in the westerly part of Ventura County, of the watershed of Rincon Creek and a line which coincides with the southeasterly boundary of Los Angeles County from the ocean to San Antonio Peak and follows thence the divide between San Gabriel River and Lytle Creek drainages to the divide between Sheep Creek and San Gabriel River drainages. (CWC section 13200(d).) The Los Angeles Region does not include the cities of Lancaster and Palmdale, which are within the jurisdiction of the Lahontan Region (also known as Region 6).</w:t>
      </w:r>
    </w:p>
    <w:p>
      <w:pPr>
        <w:pStyle w:val="BodyText"/>
        <w:spacing w:before="8"/>
        <w:rPr>
          <w:sz w:val="20"/>
        </w:rPr>
      </w:pPr>
    </w:p>
    <w:p>
      <w:pPr>
        <w:pStyle w:val="Heading1"/>
        <w:spacing w:before="1"/>
        <w:ind w:left="279"/>
      </w:pPr>
      <w:r>
        <w:rPr/>
        <w:t>Marine Waters</w:t>
      </w:r>
    </w:p>
    <w:p>
      <w:pPr>
        <w:pStyle w:val="BodyText"/>
        <w:ind w:left="279" w:right="1142"/>
      </w:pPr>
      <w:r>
        <w:rPr/>
        <w:t>All waters where the salinity is greater than 1 ppth (one part per thousand) more than 5 percent of the time during the water year. Marine waters include ocean waters and saline non-ocean waters such as enclosed bay, estuarine, and coastal lagoon waters.</w:t>
      </w:r>
    </w:p>
    <w:p>
      <w:pPr>
        <w:pStyle w:val="BodyText"/>
        <w:spacing w:before="10"/>
        <w:rPr>
          <w:sz w:val="20"/>
        </w:rPr>
      </w:pPr>
    </w:p>
    <w:p>
      <w:pPr>
        <w:pStyle w:val="Heading1"/>
        <w:ind w:left="279"/>
        <w:jc w:val="both"/>
      </w:pPr>
      <w:r>
        <w:rPr/>
        <w:t>Method Detection Limit (MDL)</w:t>
      </w:r>
    </w:p>
    <w:p>
      <w:pPr>
        <w:pStyle w:val="BodyText"/>
        <w:ind w:left="279" w:right="1146"/>
        <w:jc w:val="both"/>
      </w:pPr>
      <w:r>
        <w:rPr/>
        <w:t>The minimum concentration of a substance that can be measured and reported with 99 percent confidence that the analyte concentration is greater than zero (0), as defined in 40 CFR part 136, Attachment B, revised as of July 3, 1999.</w:t>
      </w:r>
    </w:p>
    <w:p>
      <w:pPr>
        <w:pStyle w:val="BodyText"/>
        <w:spacing w:before="10"/>
        <w:rPr>
          <w:sz w:val="20"/>
        </w:rPr>
      </w:pPr>
    </w:p>
    <w:p>
      <w:pPr>
        <w:pStyle w:val="Heading1"/>
        <w:ind w:left="279"/>
      </w:pPr>
      <w:r>
        <w:rPr/>
        <w:t>Minimum Level (ML)</w:t>
      </w:r>
    </w:p>
    <w:p>
      <w:pPr>
        <w:pStyle w:val="BodyText"/>
        <w:ind w:left="279" w:right="1102"/>
      </w:pPr>
      <w:r>
        <w:rPr/>
        <w:t>The concentration at which the entire analytical system must give a recognizable signal and acceptable calibration point. The ML is the concentration in a sample that is equivalent to the concentration of the lowest calibration standard analyzed by a specific analytical procedure, assuming that all the method specified sample weights, volumes, and processing steps have been followed.</w:t>
      </w:r>
    </w:p>
    <w:p>
      <w:pPr>
        <w:pStyle w:val="BodyText"/>
        <w:spacing w:before="10"/>
        <w:rPr>
          <w:sz w:val="20"/>
        </w:rPr>
      </w:pPr>
    </w:p>
    <w:p>
      <w:pPr>
        <w:pStyle w:val="Heading1"/>
        <w:ind w:left="279"/>
      </w:pPr>
      <w:r>
        <w:rPr/>
        <w:t>Municipal Separate Storm Sewer System (MS4)</w:t>
      </w:r>
    </w:p>
    <w:p>
      <w:pPr>
        <w:pStyle w:val="BodyText"/>
        <w:ind w:left="279" w:right="1370"/>
      </w:pPr>
      <w:r>
        <w:rPr/>
        <w:t>A conveyance or system of conveyances (including roads with drainage systems, municipal streets, catch basins, curbs, gutters, ditches, manmade channels, or storm drains) (40 CFR § 122.26(b)(8)):</w:t>
      </w:r>
    </w:p>
    <w:p>
      <w:pPr>
        <w:spacing w:after="0"/>
        <w:sectPr>
          <w:pgSz w:w="12240" w:h="15840"/>
          <w:pgMar w:header="728" w:footer="788" w:top="1540" w:bottom="980" w:left="1160" w:right="420"/>
        </w:sectPr>
      </w:pPr>
    </w:p>
    <w:p>
      <w:pPr>
        <w:pStyle w:val="BodyText"/>
        <w:spacing w:before="11"/>
        <w:rPr>
          <w:sz w:val="15"/>
        </w:rPr>
      </w:pPr>
    </w:p>
    <w:p>
      <w:pPr>
        <w:pStyle w:val="ListParagraph"/>
        <w:numPr>
          <w:ilvl w:val="2"/>
          <w:numId w:val="5"/>
        </w:numPr>
        <w:tabs>
          <w:tab w:pos="2152" w:val="left" w:leader="none"/>
        </w:tabs>
        <w:spacing w:line="240" w:lineRule="auto" w:before="92" w:after="0"/>
        <w:ind w:left="2152" w:right="1025" w:hanging="360"/>
        <w:jc w:val="left"/>
        <w:rPr>
          <w:sz w:val="24"/>
        </w:rPr>
      </w:pPr>
      <w:r>
        <w:rPr>
          <w:sz w:val="24"/>
        </w:rPr>
        <w:t>Owned or operated by a State, city, town, borough, county, parish, district, association, or other public body (created by or pursuant to State law) having jurisdiction over disposal of sewage, industrial wastes, stormwater, or other wastes, including special districts under State law such as a sewer district, flood control district or drainage district, or similar entity, or an Indian tribe or an authorized Indian</w:t>
      </w:r>
      <w:r>
        <w:rPr>
          <w:spacing w:val="-44"/>
          <w:sz w:val="24"/>
        </w:rPr>
        <w:t> </w:t>
      </w:r>
      <w:r>
        <w:rPr>
          <w:sz w:val="24"/>
        </w:rPr>
        <w:t>tribal organization, or a designated and approved management agency under section 208 of the CWA that discharges to waters of the United States;</w:t>
      </w:r>
    </w:p>
    <w:p>
      <w:pPr>
        <w:pStyle w:val="BodyText"/>
        <w:spacing w:before="10"/>
        <w:rPr>
          <w:sz w:val="20"/>
        </w:rPr>
      </w:pPr>
    </w:p>
    <w:p>
      <w:pPr>
        <w:pStyle w:val="ListParagraph"/>
        <w:numPr>
          <w:ilvl w:val="2"/>
          <w:numId w:val="5"/>
        </w:numPr>
        <w:tabs>
          <w:tab w:pos="2152" w:val="left" w:leader="none"/>
        </w:tabs>
        <w:spacing w:line="240" w:lineRule="auto" w:before="0" w:after="0"/>
        <w:ind w:left="2151" w:right="0" w:hanging="360"/>
        <w:jc w:val="left"/>
        <w:rPr>
          <w:sz w:val="24"/>
        </w:rPr>
      </w:pPr>
      <w:r>
        <w:rPr>
          <w:sz w:val="24"/>
        </w:rPr>
        <w:t>Designed or used for collecting or conveying</w:t>
      </w:r>
      <w:r>
        <w:rPr>
          <w:spacing w:val="-4"/>
          <w:sz w:val="24"/>
        </w:rPr>
        <w:t> </w:t>
      </w:r>
      <w:r>
        <w:rPr>
          <w:sz w:val="24"/>
        </w:rPr>
        <w:t>stormwater;</w:t>
      </w:r>
    </w:p>
    <w:p>
      <w:pPr>
        <w:pStyle w:val="BodyText"/>
        <w:spacing w:before="10"/>
        <w:rPr>
          <w:sz w:val="20"/>
        </w:rPr>
      </w:pPr>
    </w:p>
    <w:p>
      <w:pPr>
        <w:pStyle w:val="ListParagraph"/>
        <w:numPr>
          <w:ilvl w:val="2"/>
          <w:numId w:val="5"/>
        </w:numPr>
        <w:tabs>
          <w:tab w:pos="2152" w:val="left" w:leader="none"/>
        </w:tabs>
        <w:spacing w:line="240" w:lineRule="auto" w:before="1" w:after="0"/>
        <w:ind w:left="2151" w:right="0" w:hanging="360"/>
        <w:jc w:val="left"/>
        <w:rPr>
          <w:sz w:val="24"/>
        </w:rPr>
      </w:pPr>
      <w:r>
        <w:rPr>
          <w:sz w:val="24"/>
        </w:rPr>
        <w:t>Which is not part of a POTW as defined at 40 CFR section</w:t>
      </w:r>
      <w:r>
        <w:rPr>
          <w:spacing w:val="-16"/>
          <w:sz w:val="24"/>
        </w:rPr>
        <w:t> </w:t>
      </w:r>
      <w:r>
        <w:rPr>
          <w:sz w:val="24"/>
        </w:rPr>
        <w:t>122.2.</w:t>
      </w:r>
    </w:p>
    <w:p>
      <w:pPr>
        <w:pStyle w:val="BodyText"/>
        <w:spacing w:before="9"/>
        <w:rPr>
          <w:sz w:val="20"/>
        </w:rPr>
      </w:pPr>
    </w:p>
    <w:p>
      <w:pPr>
        <w:pStyle w:val="Heading1"/>
        <w:spacing w:before="1"/>
        <w:ind w:left="280"/>
      </w:pPr>
      <w:r>
        <w:rPr/>
        <w:t>National Pollutant Discharge Elimination System (NPDES)</w:t>
      </w:r>
    </w:p>
    <w:p>
      <w:pPr>
        <w:pStyle w:val="BodyText"/>
        <w:ind w:left="280" w:right="1835"/>
      </w:pPr>
      <w:r>
        <w:rPr/>
        <w:t>The national program for issuing, modifying, revoking and reissuing, terminating, monitoring and enforcing permits, and imposing and enforcing pretreatment requirements, under CWA parts 307, 402, 318, and 405. The term includes an “approved program.”</w:t>
      </w:r>
    </w:p>
    <w:p>
      <w:pPr>
        <w:pStyle w:val="BodyText"/>
        <w:spacing w:before="10"/>
        <w:rPr>
          <w:sz w:val="20"/>
        </w:rPr>
      </w:pPr>
    </w:p>
    <w:p>
      <w:pPr>
        <w:pStyle w:val="Heading1"/>
        <w:ind w:left="280"/>
      </w:pPr>
      <w:r>
        <w:rPr/>
        <w:t>Nature-Based Solution</w:t>
      </w:r>
    </w:p>
    <w:p>
      <w:pPr>
        <w:pStyle w:val="BodyText"/>
        <w:ind w:left="280" w:right="1081"/>
      </w:pPr>
      <w:r>
        <w:rPr/>
        <w:t>A project that utilizes natural processes that slow, detain, infiltrate or filter stormwater or urban runoff. These methods may include relying predominantly on soils and vegetation; increasing the permeability of impermeable areas; protecting undeveloped mountains and floodplains; creating and restoring riparian habitat and wetlands; creating rain gardens, bioswales, and parkway basins; and enhancing soil through composting, mulching, and planting trees and vegetation, with preference for native species. Nature-based solutions include projects that mimic natural processes, such as green streets, spreading grounds and planted areas with water storage capacity.</w:t>
      </w:r>
    </w:p>
    <w:p>
      <w:pPr>
        <w:pStyle w:val="BodyText"/>
        <w:spacing w:before="9"/>
        <w:rPr>
          <w:sz w:val="20"/>
        </w:rPr>
      </w:pPr>
    </w:p>
    <w:p>
      <w:pPr>
        <w:pStyle w:val="Heading1"/>
        <w:ind w:left="280"/>
      </w:pPr>
      <w:r>
        <w:rPr/>
        <w:t>New Development</w:t>
      </w:r>
    </w:p>
    <w:p>
      <w:pPr>
        <w:pStyle w:val="BodyText"/>
        <w:ind w:left="870" w:right="1249" w:hanging="591"/>
      </w:pPr>
      <w:r>
        <w:rPr/>
        <w:t>Land disturbing activities; structural development, including construction or installation of a building or structure, creation of impervious surfaces; and land subdivision.</w:t>
      </w:r>
    </w:p>
    <w:p>
      <w:pPr>
        <w:pStyle w:val="BodyText"/>
        <w:spacing w:before="10"/>
        <w:rPr>
          <w:sz w:val="20"/>
        </w:rPr>
      </w:pPr>
    </w:p>
    <w:p>
      <w:pPr>
        <w:pStyle w:val="Heading1"/>
        <w:ind w:left="280"/>
      </w:pPr>
      <w:r>
        <w:rPr/>
        <w:t>New Discharger</w:t>
      </w:r>
    </w:p>
    <w:p>
      <w:pPr>
        <w:pStyle w:val="BodyText"/>
        <w:ind w:left="279" w:right="1102"/>
      </w:pPr>
      <w:r>
        <w:rPr/>
        <w:t>A facility from which there is a discharge, that did not commence the discharge at a particular site prior to August 13, 1979, which is not a new source as defined in 40 CFR section 122.29, and which has never received a finally effective NPDES permit for discharges at that site. See 40 CFR section 122.2.</w:t>
      </w:r>
    </w:p>
    <w:p>
      <w:pPr>
        <w:pStyle w:val="BodyText"/>
        <w:spacing w:before="10"/>
        <w:rPr>
          <w:sz w:val="20"/>
        </w:rPr>
      </w:pPr>
    </w:p>
    <w:p>
      <w:pPr>
        <w:pStyle w:val="Heading1"/>
        <w:ind w:left="280"/>
      </w:pPr>
      <w:r>
        <w:rPr/>
        <w:t>Non-Stormwater Discharge (NSWD)</w:t>
      </w:r>
    </w:p>
    <w:p>
      <w:pPr>
        <w:pStyle w:val="BodyText"/>
        <w:ind w:left="280" w:right="1796"/>
      </w:pPr>
      <w:r>
        <w:rPr/>
        <w:t>Any discharge into the MS4 that is not composed entirely of stormwater. NSWDs authorized by this General Permit are listed in section 5.1 of the Order.</w:t>
      </w:r>
    </w:p>
    <w:p>
      <w:pPr>
        <w:spacing w:after="0"/>
        <w:sectPr>
          <w:pgSz w:w="12240" w:h="15840"/>
          <w:pgMar w:header="728" w:footer="788" w:top="1540" w:bottom="980" w:left="1160" w:right="420"/>
        </w:sectPr>
      </w:pPr>
    </w:p>
    <w:p>
      <w:pPr>
        <w:pStyle w:val="BodyText"/>
        <w:rPr>
          <w:sz w:val="20"/>
        </w:rPr>
      </w:pPr>
    </w:p>
    <w:p>
      <w:pPr>
        <w:pStyle w:val="BodyText"/>
        <w:spacing w:before="11"/>
        <w:rPr>
          <w:sz w:val="19"/>
        </w:rPr>
      </w:pPr>
    </w:p>
    <w:p>
      <w:pPr>
        <w:pStyle w:val="Heading1"/>
        <w:spacing w:before="92"/>
        <w:ind w:left="280"/>
      </w:pPr>
      <w:r>
        <w:rPr/>
        <w:t>Not Detected (ND)</w:t>
      </w:r>
    </w:p>
    <w:p>
      <w:pPr>
        <w:pStyle w:val="BodyText"/>
        <w:ind w:left="280"/>
      </w:pPr>
      <w:r>
        <w:rPr/>
        <w:t>Those sample results less than the laboratory’s MDL.</w:t>
      </w:r>
    </w:p>
    <w:p>
      <w:pPr>
        <w:pStyle w:val="BodyText"/>
        <w:spacing w:before="10"/>
        <w:rPr>
          <w:sz w:val="20"/>
        </w:rPr>
      </w:pPr>
    </w:p>
    <w:p>
      <w:pPr>
        <w:pStyle w:val="Heading1"/>
        <w:ind w:left="280"/>
      </w:pPr>
      <w:r>
        <w:rPr/>
        <w:t>Numeric Effluent Limitation (NEL)</w:t>
      </w:r>
    </w:p>
    <w:p>
      <w:pPr>
        <w:pStyle w:val="BodyText"/>
        <w:ind w:left="280"/>
      </w:pPr>
      <w:r>
        <w:rPr/>
        <w:t>A numerical limit, an exceedance of which is a violation of this General Permit.</w:t>
      </w:r>
    </w:p>
    <w:p>
      <w:pPr>
        <w:pStyle w:val="BodyText"/>
      </w:pPr>
    </w:p>
    <w:p>
      <w:pPr>
        <w:spacing w:line="264" w:lineRule="exact" w:before="0"/>
        <w:ind w:left="280" w:right="0" w:firstLine="0"/>
        <w:jc w:val="left"/>
        <w:rPr>
          <w:b/>
          <w:sz w:val="23"/>
        </w:rPr>
      </w:pPr>
      <w:r>
        <w:rPr>
          <w:b/>
          <w:sz w:val="23"/>
        </w:rPr>
        <w:t>pH</w:t>
      </w:r>
    </w:p>
    <w:p>
      <w:pPr>
        <w:pStyle w:val="BodyText"/>
        <w:ind w:left="280" w:right="1141"/>
      </w:pPr>
      <w:r>
        <w:rPr/>
        <w:t>Unit universally used to express the intensity of the acid or alkaline condition of a water sample. The pH of natural waters tends to range between 6.0 and 9.0, with neutral being 7.0.</w:t>
      </w:r>
    </w:p>
    <w:p>
      <w:pPr>
        <w:pStyle w:val="BodyText"/>
        <w:rPr>
          <w:sz w:val="28"/>
        </w:rPr>
      </w:pPr>
    </w:p>
    <w:p>
      <w:pPr>
        <w:pStyle w:val="Heading1"/>
        <w:ind w:left="280"/>
      </w:pPr>
      <w:r>
        <w:rPr/>
        <w:t>Point Source</w:t>
      </w:r>
    </w:p>
    <w:p>
      <w:pPr>
        <w:pStyle w:val="BodyText"/>
        <w:ind w:left="279" w:right="1130"/>
      </w:pPr>
      <w:r>
        <w:rPr/>
        <w:t>Any discernible, confined, and discrete conveyance, including but not limited to, any pipe, ditch, channel, tunnel, conduit, well, discrete fissure, container, rolling stock, concentrated animal feeding operation, landfill leachate collection system, vessel or other floating craft from which pollutants are or may be discharged. This term does not include return flows from irrigated agriculture or agricultural stormwater runoff. (40 CFR</w:t>
      </w:r>
    </w:p>
    <w:p>
      <w:pPr>
        <w:pStyle w:val="BodyText"/>
        <w:ind w:left="280"/>
      </w:pPr>
      <w:r>
        <w:rPr/>
        <w:t>§ 122.2)</w:t>
      </w:r>
    </w:p>
    <w:p>
      <w:pPr>
        <w:pStyle w:val="BodyText"/>
        <w:spacing w:before="10"/>
        <w:rPr>
          <w:sz w:val="20"/>
        </w:rPr>
      </w:pPr>
    </w:p>
    <w:p>
      <w:pPr>
        <w:pStyle w:val="Heading1"/>
        <w:ind w:left="280"/>
      </w:pPr>
      <w:r>
        <w:rPr/>
        <w:t>Stormwater Pollution Prevention Plan</w:t>
      </w:r>
    </w:p>
    <w:p>
      <w:pPr>
        <w:pStyle w:val="BodyText"/>
        <w:ind w:left="279" w:right="1400"/>
      </w:pPr>
      <w:r>
        <w:rPr/>
        <w:t>A plan required by this General Permit identifying potential pollutant sources and describing the design, placement and implementation of BMPs, to effectively prevent non-stormwater discharges and reduce pollutants in stormwater discharges from activities covered by this General Permit.</w:t>
      </w:r>
    </w:p>
    <w:p>
      <w:pPr>
        <w:pStyle w:val="BodyText"/>
        <w:spacing w:before="10"/>
        <w:rPr>
          <w:sz w:val="20"/>
        </w:rPr>
      </w:pPr>
    </w:p>
    <w:p>
      <w:pPr>
        <w:pStyle w:val="Heading1"/>
        <w:ind w:left="279"/>
      </w:pPr>
      <w:r>
        <w:rPr/>
        <w:t>Publicly Owned Treatment Works (POTW)</w:t>
      </w:r>
    </w:p>
    <w:p>
      <w:pPr>
        <w:pStyle w:val="BodyText"/>
        <w:ind w:left="280" w:right="1062"/>
      </w:pPr>
      <w:r>
        <w:rPr/>
        <w:t>A treatment works as defined in CWA section 212, which is owned by a government agency as defined by CWA section 502(4). Section 502(4) of the CWA defines a municipality as a city, town, borough, county, parish, district, association, or other public body created by or pursuant to state law and having jurisdiction over disposal of sewage, industrial wastes, or other wastes. This definition includes any devices and systems used in the storage, treatment, recycling, and recycling of municipal sewage or industrial wastes of a liquid nature. It also includes sewers, pipes and other conveyances only if they convey wastewater to a POTW. The term also means the municipality as defined in CWA section 502(4), which has jurisdiction over the Indirect Discharges to and the discharges from such a treatment works.</w:t>
      </w:r>
    </w:p>
    <w:p>
      <w:pPr>
        <w:pStyle w:val="BodyText"/>
        <w:spacing w:before="10"/>
        <w:rPr>
          <w:sz w:val="20"/>
        </w:rPr>
      </w:pPr>
    </w:p>
    <w:p>
      <w:pPr>
        <w:pStyle w:val="Heading1"/>
        <w:ind w:left="280"/>
      </w:pPr>
      <w:r>
        <w:rPr/>
        <w:t>Qualifying Storm Event (QSE)</w:t>
      </w:r>
    </w:p>
    <w:p>
      <w:pPr>
        <w:pStyle w:val="BodyText"/>
        <w:ind w:left="280"/>
      </w:pPr>
      <w:r>
        <w:rPr/>
        <w:t>A precipitation event that: a) Produces a discharge for at least one drainage area; and</w:t>
      </w:r>
    </w:p>
    <w:p>
      <w:pPr>
        <w:pStyle w:val="BodyText"/>
        <w:ind w:left="280"/>
      </w:pPr>
      <w:r>
        <w:rPr/>
        <w:t>b) Is preceded by 48 hours with no discharge from any drainage area.</w:t>
      </w:r>
    </w:p>
    <w:p>
      <w:pPr>
        <w:pStyle w:val="BodyText"/>
        <w:spacing w:before="10"/>
        <w:rPr>
          <w:sz w:val="20"/>
        </w:rPr>
      </w:pPr>
    </w:p>
    <w:p>
      <w:pPr>
        <w:pStyle w:val="Heading1"/>
        <w:ind w:left="280"/>
      </w:pPr>
      <w:r>
        <w:rPr/>
        <w:t>Rain Event</w:t>
      </w:r>
    </w:p>
    <w:p>
      <w:pPr>
        <w:pStyle w:val="BodyText"/>
        <w:ind w:left="280" w:right="1035"/>
      </w:pPr>
      <w:r>
        <w:rPr/>
        <w:t>Any rain event greater than 0.1 inch in 24 hours except where specifically stated otherwise.</w:t>
      </w:r>
    </w:p>
    <w:p>
      <w:pPr>
        <w:spacing w:after="0"/>
        <w:sectPr>
          <w:pgSz w:w="12240" w:h="15840"/>
          <w:pgMar w:header="728" w:footer="788" w:top="1540" w:bottom="980" w:left="1160" w:right="420"/>
        </w:sectPr>
      </w:pPr>
    </w:p>
    <w:p>
      <w:pPr>
        <w:pStyle w:val="BodyText"/>
        <w:spacing w:before="11"/>
        <w:rPr>
          <w:sz w:val="15"/>
        </w:rPr>
      </w:pPr>
    </w:p>
    <w:p>
      <w:pPr>
        <w:pStyle w:val="Heading1"/>
        <w:spacing w:before="92"/>
        <w:ind w:left="280"/>
      </w:pPr>
      <w:r>
        <w:rPr/>
        <w:t>Rainfall Harvest and Use</w:t>
      </w:r>
    </w:p>
    <w:p>
      <w:pPr>
        <w:pStyle w:val="BodyText"/>
        <w:ind w:left="279" w:right="1253"/>
      </w:pPr>
      <w:r>
        <w:rPr/>
        <w:t>Rainfall harvest and use is an LID BMP system designed to capture runoff, typically from a roof but it can also include runoff capture from elsewhere within the site, and to provide for temporary storage until the harvested water can be used for irrigation or non-potable uses. The harvested water may also be used for potable water uses if the system includes disinfection treatment and is approved for such use by the local building department.</w:t>
      </w:r>
    </w:p>
    <w:p>
      <w:pPr>
        <w:pStyle w:val="BodyText"/>
        <w:spacing w:before="10"/>
        <w:rPr>
          <w:sz w:val="20"/>
        </w:rPr>
      </w:pPr>
    </w:p>
    <w:p>
      <w:pPr>
        <w:pStyle w:val="Heading1"/>
        <w:ind w:left="279"/>
      </w:pPr>
      <w:r>
        <w:rPr/>
        <w:t>Receiving Water</w:t>
      </w:r>
    </w:p>
    <w:p>
      <w:pPr>
        <w:pStyle w:val="BodyText"/>
        <w:ind w:left="279"/>
      </w:pPr>
      <w:r>
        <w:rPr/>
        <w:t>A water into which waste and/or pollutants are, or may be, discharged.</w:t>
      </w:r>
    </w:p>
    <w:p>
      <w:pPr>
        <w:pStyle w:val="BodyText"/>
        <w:spacing w:before="10"/>
        <w:rPr>
          <w:sz w:val="20"/>
        </w:rPr>
      </w:pPr>
    </w:p>
    <w:p>
      <w:pPr>
        <w:pStyle w:val="Heading1"/>
        <w:ind w:left="279"/>
      </w:pPr>
      <w:r>
        <w:rPr/>
        <w:t>Regional Administrator</w:t>
      </w:r>
    </w:p>
    <w:p>
      <w:pPr>
        <w:pStyle w:val="BodyText"/>
        <w:spacing w:before="1"/>
        <w:ind w:left="279" w:right="1663"/>
      </w:pPr>
      <w:r>
        <w:rPr/>
        <w:t>The Regional Administrator of the Regional Office of the USEPA or the authorized representative of the Regional Administrator.</w:t>
      </w:r>
    </w:p>
    <w:p>
      <w:pPr>
        <w:pStyle w:val="BodyText"/>
        <w:spacing w:before="9"/>
        <w:rPr>
          <w:sz w:val="20"/>
        </w:rPr>
      </w:pPr>
    </w:p>
    <w:p>
      <w:pPr>
        <w:pStyle w:val="Heading1"/>
        <w:spacing w:before="1"/>
        <w:ind w:left="279"/>
      </w:pPr>
      <w:r>
        <w:rPr/>
        <w:t>Reporting Level (RL)</w:t>
      </w:r>
    </w:p>
    <w:p>
      <w:pPr>
        <w:pStyle w:val="BodyText"/>
        <w:ind w:left="279" w:right="1025"/>
      </w:pPr>
      <w:r>
        <w:rPr/>
        <w:t>The RL is the ML (and its associated analytical method) chosen by the Discharger for reporting and compliance determination. MLs correspond to the approved analytical methods for reporting a sample result either from Appendix 4 of the SIP in accordance with section 2.4.2 of the SIP or established in accordance with section 2.4.3 of the SIP. The ML represents the lowest quantifiable concentration in a sample based on the proper application of method-based analytical procedures and the absence of any matrix interferences. Other factors may be applied to the ML depending on the specific sample preparation steps employed. For example, the treatment typically applied in cases where there are matrix-effects is to dilute the sample or sample aliquot by a factor of ten. In such cases, this additional factor must be applied in the computation of the RL.</w:t>
      </w:r>
    </w:p>
    <w:p>
      <w:pPr>
        <w:pStyle w:val="BodyText"/>
        <w:spacing w:before="8"/>
        <w:rPr>
          <w:sz w:val="20"/>
        </w:rPr>
      </w:pPr>
    </w:p>
    <w:p>
      <w:pPr>
        <w:pStyle w:val="Heading1"/>
        <w:spacing w:before="1"/>
        <w:ind w:left="280"/>
      </w:pPr>
      <w:r>
        <w:rPr/>
        <w:t>Runoff</w:t>
      </w:r>
    </w:p>
    <w:p>
      <w:pPr>
        <w:pStyle w:val="BodyText"/>
        <w:ind w:left="280" w:right="1115"/>
      </w:pPr>
      <w:r>
        <w:rPr/>
        <w:t>Any runoff including stormwater and non-stormwater from a drainage area that reaches a receiving waterbody.</w:t>
      </w:r>
    </w:p>
    <w:p>
      <w:pPr>
        <w:pStyle w:val="BodyText"/>
        <w:spacing w:before="10"/>
        <w:rPr>
          <w:sz w:val="20"/>
        </w:rPr>
      </w:pPr>
    </w:p>
    <w:p>
      <w:pPr>
        <w:pStyle w:val="Heading1"/>
        <w:ind w:left="280"/>
      </w:pPr>
      <w:r>
        <w:rPr/>
        <w:t>Runoff Control</w:t>
      </w:r>
      <w:r>
        <w:rPr>
          <w:spacing w:val="-2"/>
        </w:rPr>
        <w:t> </w:t>
      </w:r>
      <w:r>
        <w:rPr/>
        <w:t>BMPs</w:t>
      </w:r>
    </w:p>
    <w:p>
      <w:pPr>
        <w:pStyle w:val="BodyText"/>
        <w:ind w:left="280"/>
      </w:pPr>
      <w:r>
        <w:rPr/>
        <w:t>Measures used to divert run-on from offsite and runoff within the site.</w:t>
      </w:r>
    </w:p>
    <w:p>
      <w:pPr>
        <w:pStyle w:val="BodyText"/>
        <w:spacing w:before="10"/>
        <w:rPr>
          <w:sz w:val="20"/>
        </w:rPr>
      </w:pPr>
    </w:p>
    <w:p>
      <w:pPr>
        <w:pStyle w:val="Heading1"/>
        <w:ind w:left="280"/>
      </w:pPr>
      <w:r>
        <w:rPr/>
        <w:t>Run-on</w:t>
      </w:r>
    </w:p>
    <w:p>
      <w:pPr>
        <w:pStyle w:val="BodyText"/>
        <w:ind w:left="280" w:right="1555"/>
      </w:pPr>
      <w:r>
        <w:rPr/>
        <w:t>Discharges that originate offsite and flow onto the property of a separate facility or property or, discharges that originate onsite from areas not related to the CII facility and flow onto areas on the property with CII facility.</w:t>
      </w:r>
    </w:p>
    <w:p>
      <w:pPr>
        <w:pStyle w:val="BodyText"/>
        <w:spacing w:before="10"/>
        <w:rPr>
          <w:sz w:val="20"/>
        </w:rPr>
      </w:pPr>
    </w:p>
    <w:p>
      <w:pPr>
        <w:pStyle w:val="Heading1"/>
        <w:ind w:left="280"/>
      </w:pPr>
      <w:r>
        <w:rPr/>
        <w:t>Sediment</w:t>
      </w:r>
    </w:p>
    <w:p>
      <w:pPr>
        <w:pStyle w:val="BodyText"/>
        <w:ind w:left="280" w:right="1595"/>
      </w:pPr>
      <w:r>
        <w:rPr/>
        <w:t>Solid particulate matter, both mineral and organic, that is in suspension, is being transported, or has been moved from its origin by air, water, gravity, or ice and has come to rest on the earth's surface either above or below sea level.</w:t>
      </w:r>
    </w:p>
    <w:p>
      <w:pPr>
        <w:spacing w:after="0"/>
        <w:sectPr>
          <w:pgSz w:w="12240" w:h="15840"/>
          <w:pgMar w:header="728" w:footer="788" w:top="1540" w:bottom="980" w:left="1160" w:right="420"/>
        </w:sectPr>
      </w:pPr>
    </w:p>
    <w:p>
      <w:pPr>
        <w:pStyle w:val="BodyText"/>
        <w:spacing w:before="11"/>
        <w:rPr>
          <w:sz w:val="15"/>
        </w:rPr>
      </w:pPr>
    </w:p>
    <w:p>
      <w:pPr>
        <w:pStyle w:val="Heading1"/>
        <w:spacing w:before="92"/>
        <w:ind w:left="280"/>
      </w:pPr>
      <w:r>
        <w:rPr/>
        <w:t>Site</w:t>
      </w:r>
    </w:p>
    <w:p>
      <w:pPr>
        <w:pStyle w:val="BodyText"/>
        <w:ind w:left="280" w:right="1089"/>
      </w:pPr>
      <w:r>
        <w:rPr/>
        <w:t>The land or water area where any “facility or activity” is physically located or conducted, including adjacent land used in connection with the facility or activity.</w:t>
      </w:r>
    </w:p>
    <w:p>
      <w:pPr>
        <w:pStyle w:val="BodyText"/>
        <w:spacing w:before="10"/>
        <w:rPr>
          <w:sz w:val="20"/>
        </w:rPr>
      </w:pPr>
    </w:p>
    <w:p>
      <w:pPr>
        <w:pStyle w:val="Heading1"/>
        <w:ind w:left="280"/>
      </w:pPr>
      <w:r>
        <w:rPr/>
        <w:t>Source Control BMP</w:t>
      </w:r>
    </w:p>
    <w:p>
      <w:pPr>
        <w:pStyle w:val="BodyText"/>
        <w:ind w:left="280" w:right="1209"/>
      </w:pPr>
      <w:r>
        <w:rPr/>
        <w:t>Any schedules of activities, prohibitions of practices, maintenance procedures, managerial practices or operational practices that aim to prevent stormwater pollution by reducing the potential for contamination at the source of pollution.</w:t>
      </w:r>
    </w:p>
    <w:p>
      <w:pPr>
        <w:pStyle w:val="BodyText"/>
        <w:spacing w:before="10"/>
        <w:rPr>
          <w:sz w:val="20"/>
        </w:rPr>
      </w:pPr>
    </w:p>
    <w:p>
      <w:pPr>
        <w:pStyle w:val="Heading1"/>
        <w:ind w:left="280"/>
      </w:pPr>
      <w:r>
        <w:rPr/>
        <w:t>Statistical Threshold Value (STV)</w:t>
      </w:r>
    </w:p>
    <w:p>
      <w:pPr>
        <w:pStyle w:val="BodyText"/>
        <w:ind w:left="280" w:right="1168"/>
      </w:pPr>
      <w:r>
        <w:rPr/>
        <w:t>A set value that approximates the 90th percentile of the water distribution of a bacterial population. For the bacteria Water Quality Objectives, the STV for enterococci is 110 CFU/100 mL.</w:t>
      </w:r>
    </w:p>
    <w:p>
      <w:pPr>
        <w:pStyle w:val="BodyText"/>
        <w:spacing w:before="10"/>
        <w:rPr>
          <w:sz w:val="20"/>
        </w:rPr>
      </w:pPr>
    </w:p>
    <w:p>
      <w:pPr>
        <w:pStyle w:val="Heading1"/>
        <w:spacing w:before="1"/>
        <w:ind w:left="280"/>
      </w:pPr>
      <w:r>
        <w:rPr/>
        <w:t>Stormwater</w:t>
      </w:r>
    </w:p>
    <w:p>
      <w:pPr>
        <w:pStyle w:val="BodyText"/>
        <w:ind w:left="280" w:right="1274"/>
      </w:pPr>
      <w:r>
        <w:rPr/>
        <w:t>Stormwater runoff, snow melt runoff, and surface runoff and drainage related to precipitation events (pursuant to 40 CFR § 122.26(b)(13); 55 Fed. Reg. 47990, 47995</w:t>
      </w:r>
    </w:p>
    <w:p>
      <w:pPr>
        <w:pStyle w:val="BodyText"/>
        <w:ind w:left="280"/>
      </w:pPr>
      <w:r>
        <w:rPr/>
        <w:t>(Nov. 16, 1990)).</w:t>
      </w:r>
    </w:p>
    <w:p>
      <w:pPr>
        <w:pStyle w:val="BodyText"/>
        <w:spacing w:before="9"/>
        <w:rPr>
          <w:sz w:val="20"/>
        </w:rPr>
      </w:pPr>
    </w:p>
    <w:p>
      <w:pPr>
        <w:pStyle w:val="Heading1"/>
        <w:spacing w:before="1"/>
        <w:ind w:left="280"/>
      </w:pPr>
      <w:r>
        <w:rPr/>
        <w:t>Stormwater Pollution Prevention Plan</w:t>
      </w:r>
    </w:p>
    <w:p>
      <w:pPr>
        <w:pStyle w:val="BodyText"/>
        <w:ind w:left="279" w:right="1400"/>
      </w:pPr>
      <w:r>
        <w:rPr/>
        <w:t>A plan required by this General Permit identifying potential pollutant sources and describing the design, placement and implementation of BMPs, to effectively prevent non-stormwater discharges and reduce pollutants in stormwater discharges from activities covered by this General Permit.</w:t>
      </w:r>
    </w:p>
    <w:p>
      <w:pPr>
        <w:pStyle w:val="BodyText"/>
        <w:spacing w:before="10"/>
        <w:rPr>
          <w:sz w:val="20"/>
        </w:rPr>
      </w:pPr>
    </w:p>
    <w:p>
      <w:pPr>
        <w:pStyle w:val="Heading1"/>
        <w:spacing w:line="275" w:lineRule="exact"/>
        <w:ind w:left="279"/>
      </w:pPr>
      <w:r>
        <w:rPr/>
        <w:t>Structural BMP</w:t>
      </w:r>
    </w:p>
    <w:p>
      <w:pPr>
        <w:pStyle w:val="BodyText"/>
        <w:ind w:left="279" w:right="1689"/>
      </w:pPr>
      <w:r>
        <w:rPr/>
        <w:t>Any structural facility designed and constructed to mitigate the adverse impacts of stormwater and non-stormwater pollution (e.g. Treatment Control BMPs).</w:t>
      </w:r>
    </w:p>
    <w:p>
      <w:pPr>
        <w:pStyle w:val="BodyText"/>
        <w:rPr>
          <w:sz w:val="26"/>
        </w:rPr>
      </w:pPr>
    </w:p>
    <w:p>
      <w:pPr>
        <w:pStyle w:val="Heading1"/>
        <w:spacing w:before="216"/>
        <w:ind w:left="279"/>
      </w:pPr>
      <w:r>
        <w:rPr/>
        <w:t>Total Maximum Daily Load (TMDL)</w:t>
      </w:r>
    </w:p>
    <w:p>
      <w:pPr>
        <w:pStyle w:val="BodyText"/>
        <w:ind w:left="279" w:right="1248"/>
      </w:pPr>
      <w:r>
        <w:rPr/>
        <w:t>The sum of the individual waste load allocations for point sources and load allocations for nonpoint sources and natural background such that the cumulative pollutant load from all sources does not exceed the loading (assimilative) capacity of the waterbody. TMDLs are commonly referred to as “pollution budgets”.</w:t>
      </w:r>
    </w:p>
    <w:p>
      <w:pPr>
        <w:pStyle w:val="BodyText"/>
        <w:spacing w:before="10"/>
        <w:rPr>
          <w:sz w:val="20"/>
        </w:rPr>
      </w:pPr>
    </w:p>
    <w:p>
      <w:pPr>
        <w:pStyle w:val="Heading1"/>
        <w:ind w:left="279"/>
      </w:pPr>
      <w:r>
        <w:rPr/>
        <w:t>Toxicity</w:t>
      </w:r>
    </w:p>
    <w:p>
      <w:pPr>
        <w:pStyle w:val="BodyText"/>
        <w:ind w:left="279" w:right="1436"/>
      </w:pPr>
      <w:r>
        <w:rPr/>
        <w:t>The adverse response(s) of organisms to chemicals or physical agents ranging from mortality to physiological responses, such as impaired reproduction or growth anomalies</w:t>
      </w:r>
    </w:p>
    <w:p>
      <w:pPr>
        <w:pStyle w:val="BodyText"/>
        <w:spacing w:before="10"/>
        <w:rPr>
          <w:sz w:val="20"/>
        </w:rPr>
      </w:pPr>
    </w:p>
    <w:p>
      <w:pPr>
        <w:pStyle w:val="Heading1"/>
        <w:spacing w:before="1"/>
        <w:ind w:left="280"/>
      </w:pPr>
      <w:r>
        <w:rPr/>
        <w:t>Trash</w:t>
      </w:r>
    </w:p>
    <w:p>
      <w:pPr>
        <w:pStyle w:val="BodyText"/>
        <w:ind w:left="279" w:right="1423"/>
      </w:pPr>
      <w:r>
        <w:rPr/>
        <w:t>All improperly discarded solid material from any production, manufacturing, or processing operation including, but not limited to, products, product packaging, or containers constructed of plastic, steel, aluminum, glass, paper, or other synthetic or natural materials.</w:t>
      </w:r>
    </w:p>
    <w:p>
      <w:pPr>
        <w:spacing w:after="0"/>
        <w:sectPr>
          <w:pgSz w:w="12240" w:h="15840"/>
          <w:pgMar w:header="728" w:footer="788" w:top="1540" w:bottom="980" w:left="1160" w:right="420"/>
        </w:sectPr>
      </w:pPr>
    </w:p>
    <w:p>
      <w:pPr>
        <w:pStyle w:val="BodyText"/>
        <w:spacing w:before="11"/>
        <w:rPr>
          <w:sz w:val="15"/>
        </w:rPr>
      </w:pPr>
    </w:p>
    <w:p>
      <w:pPr>
        <w:pStyle w:val="Heading1"/>
        <w:spacing w:before="92"/>
        <w:ind w:left="280"/>
      </w:pPr>
      <w:r>
        <w:rPr/>
        <w:t>Treatment</w:t>
      </w:r>
    </w:p>
    <w:p>
      <w:pPr>
        <w:pStyle w:val="BodyText"/>
        <w:ind w:left="280" w:right="1021"/>
      </w:pPr>
      <w:r>
        <w:rPr/>
        <w:t>The application of engineered systems that use physical, chemical, or biological processes to remove pollutants. Such processes include, but are not limited to, filtration, gravity settling, media absorption, biodegradation, biological uptake, chemical oxidation and ultraviolet radiation.</w:t>
      </w:r>
    </w:p>
    <w:p>
      <w:pPr>
        <w:pStyle w:val="BodyText"/>
        <w:spacing w:before="10"/>
        <w:rPr>
          <w:sz w:val="20"/>
        </w:rPr>
      </w:pPr>
    </w:p>
    <w:p>
      <w:pPr>
        <w:pStyle w:val="Heading1"/>
        <w:ind w:left="280"/>
      </w:pPr>
      <w:r>
        <w:rPr/>
        <w:t>Treatment Control BMP</w:t>
      </w:r>
    </w:p>
    <w:p>
      <w:pPr>
        <w:pStyle w:val="BodyText"/>
        <w:ind w:left="280" w:right="1635"/>
      </w:pPr>
      <w:r>
        <w:rPr/>
        <w:t>Any engineered system designed to remove pollutants by simple gravity settling of particulate pollutants, filtration, biological uptake, media absorption or any other physical, biological, or chemical process.</w:t>
      </w:r>
    </w:p>
    <w:p>
      <w:pPr>
        <w:pStyle w:val="BodyText"/>
        <w:spacing w:before="10"/>
        <w:rPr>
          <w:sz w:val="20"/>
        </w:rPr>
      </w:pPr>
    </w:p>
    <w:p>
      <w:pPr>
        <w:pStyle w:val="Heading1"/>
        <w:ind w:left="280"/>
      </w:pPr>
      <w:r>
        <w:rPr/>
        <w:t>Waste</w:t>
      </w:r>
    </w:p>
    <w:p>
      <w:pPr>
        <w:pStyle w:val="BodyText"/>
        <w:spacing w:before="1"/>
        <w:ind w:left="280" w:right="1155"/>
      </w:pPr>
      <w:r>
        <w:rPr/>
        <w:t>Sewage and any and all other waste substances, liquid, solid, gaseous, or radioactive, associated with human habitation, or of human or animal origin, or from any producing, manufacturing, or processing operation, including waste placed within containers of whatever nature prior to, and for purpose of, disposal.</w:t>
      </w:r>
    </w:p>
    <w:p>
      <w:pPr>
        <w:pStyle w:val="BodyText"/>
        <w:spacing w:before="9"/>
        <w:rPr>
          <w:sz w:val="20"/>
        </w:rPr>
      </w:pPr>
    </w:p>
    <w:p>
      <w:pPr>
        <w:pStyle w:val="Heading1"/>
        <w:spacing w:before="1"/>
        <w:ind w:left="280"/>
      </w:pPr>
      <w:r>
        <w:rPr/>
        <w:t>Waste Load Allocation (WLA)</w:t>
      </w:r>
    </w:p>
    <w:p>
      <w:pPr>
        <w:pStyle w:val="BodyText"/>
        <w:ind w:left="280" w:right="1122"/>
      </w:pPr>
      <w:r>
        <w:rPr/>
        <w:t>The portion of a receiving water's loading capacity that is allocated to one of its existing or future point sources of pollution.</w:t>
      </w:r>
    </w:p>
    <w:p>
      <w:pPr>
        <w:pStyle w:val="BodyText"/>
        <w:spacing w:before="10"/>
        <w:rPr>
          <w:sz w:val="20"/>
        </w:rPr>
      </w:pPr>
    </w:p>
    <w:p>
      <w:pPr>
        <w:pStyle w:val="Heading1"/>
        <w:ind w:left="280"/>
      </w:pPr>
      <w:r>
        <w:rPr/>
        <w:t>Water Quality-based Effluent Limitation (WQBEL)</w:t>
      </w:r>
    </w:p>
    <w:p>
      <w:pPr>
        <w:pStyle w:val="BodyText"/>
        <w:ind w:left="280" w:right="1074"/>
      </w:pPr>
      <w:r>
        <w:rPr/>
        <w:t>Any restriction imposed on quantities, discharge rates, and concentrations of pollutants, which are discharged from point sources to waters of the US necessary to achieve a water quality standard.</w:t>
      </w:r>
    </w:p>
    <w:p>
      <w:pPr>
        <w:pStyle w:val="Heading1"/>
        <w:spacing w:before="234"/>
        <w:ind w:left="280"/>
        <w:rPr>
          <w:sz w:val="16"/>
        </w:rPr>
      </w:pPr>
      <w:r>
        <w:rPr/>
        <w:t>Waters of the United States (Waters of the US)</w:t>
      </w:r>
      <w:r>
        <w:rPr>
          <w:position w:val="8"/>
          <w:sz w:val="16"/>
        </w:rPr>
        <w:t>2</w:t>
      </w:r>
    </w:p>
    <w:p>
      <w:pPr>
        <w:pStyle w:val="BodyText"/>
        <w:ind w:left="279" w:right="1016"/>
      </w:pPr>
      <w:r>
        <w:rPr/>
        <w:t>All waters that are currently used, were used in the past, or may be susceptible to use in interstate or foreign commerce, including all waters which are subject to the ebb and flow of the tide;</w:t>
      </w:r>
    </w:p>
    <w:p>
      <w:pPr>
        <w:pStyle w:val="BodyText"/>
        <w:spacing w:before="10"/>
        <w:rPr>
          <w:sz w:val="20"/>
        </w:rPr>
      </w:pPr>
    </w:p>
    <w:p>
      <w:pPr>
        <w:pStyle w:val="BodyText"/>
        <w:ind w:left="279"/>
      </w:pPr>
      <w:r>
        <w:rPr/>
        <w:t>All interstate waters, including interstate “wetlands”;</w:t>
      </w:r>
    </w:p>
    <w:p>
      <w:pPr>
        <w:pStyle w:val="BodyText"/>
        <w:spacing w:before="10"/>
        <w:rPr>
          <w:sz w:val="20"/>
        </w:rPr>
      </w:pPr>
    </w:p>
    <w:p>
      <w:pPr>
        <w:pStyle w:val="BodyText"/>
        <w:ind w:left="870" w:right="1011" w:hanging="591"/>
      </w:pPr>
      <w:r>
        <w:rPr/>
        <w:t>All other waters such as intrastate lakes, rivers, streams (including intermittent streams), mudflats, sandflats, “wetlands,” sloughs, prairie potholes, wet meadows, playa lakes, or natural ponds the use, degradation, or destruction of which would affect or could affect interstate or foreign commerce including any such waters:</w:t>
      </w:r>
    </w:p>
    <w:p>
      <w:pPr>
        <w:pStyle w:val="BodyText"/>
        <w:spacing w:before="10"/>
        <w:rPr>
          <w:sz w:val="20"/>
        </w:rPr>
      </w:pPr>
    </w:p>
    <w:p>
      <w:pPr>
        <w:pStyle w:val="BodyText"/>
        <w:ind w:left="2080" w:right="2138" w:hanging="288"/>
      </w:pPr>
      <w:r>
        <w:rPr/>
        <w:t>Which are or could be used by interstate or foreign travelers for recreational or other purposes;</w:t>
      </w:r>
    </w:p>
    <w:p>
      <w:pPr>
        <w:pStyle w:val="BodyText"/>
        <w:rPr>
          <w:sz w:val="20"/>
        </w:rPr>
      </w:pPr>
    </w:p>
    <w:p>
      <w:pPr>
        <w:pStyle w:val="BodyText"/>
        <w:spacing w:before="8"/>
        <w:rPr>
          <w:sz w:val="11"/>
        </w:rPr>
      </w:pPr>
      <w:r>
        <w:rPr/>
        <w:pict>
          <v:shape style="position:absolute;margin-left:72pt;margin-top:9.010024pt;width:144pt;height:.1pt;mso-position-horizontal-relative:page;mso-position-vertical-relative:paragraph;z-index:-251652096;mso-wrap-distance-left:0;mso-wrap-distance-right:0" coordorigin="1440,180" coordsize="2880,0" path="m1440,180l4320,180e" filled="false" stroked="true" strokeweight=".600010pt" strokecolor="#000000">
            <v:path arrowok="t"/>
            <v:stroke dashstyle="solid"/>
            <w10:wrap type="topAndBottom"/>
          </v:shape>
        </w:pict>
      </w:r>
    </w:p>
    <w:p>
      <w:pPr>
        <w:pStyle w:val="BodyText"/>
        <w:rPr>
          <w:sz w:val="20"/>
        </w:rPr>
      </w:pPr>
    </w:p>
    <w:p>
      <w:pPr>
        <w:pStyle w:val="BodyText"/>
        <w:spacing w:before="5"/>
        <w:rPr>
          <w:sz w:val="22"/>
        </w:rPr>
      </w:pPr>
    </w:p>
    <w:p>
      <w:pPr>
        <w:pStyle w:val="BodyText"/>
        <w:spacing w:before="95"/>
        <w:ind w:left="280" w:right="1035"/>
      </w:pPr>
      <w:r>
        <w:rPr>
          <w:position w:val="8"/>
          <w:sz w:val="16"/>
        </w:rPr>
        <w:t>2 </w:t>
      </w:r>
      <w:r>
        <w:rPr/>
        <w:t>Waters of the US definition shall be defined per USEPA’s Navigable Waters Protection Rule (85 Federal Register 22250 (April 21, 2020)) effective on June 22, 2020.</w:t>
      </w:r>
    </w:p>
    <w:p>
      <w:pPr>
        <w:spacing w:after="0"/>
        <w:sectPr>
          <w:pgSz w:w="12240" w:h="15840"/>
          <w:pgMar w:header="728" w:footer="788" w:top="1540" w:bottom="980" w:left="1160" w:right="420"/>
        </w:sectPr>
      </w:pPr>
    </w:p>
    <w:p>
      <w:pPr>
        <w:pStyle w:val="BodyText"/>
        <w:spacing w:before="11"/>
        <w:rPr>
          <w:sz w:val="15"/>
        </w:rPr>
      </w:pPr>
    </w:p>
    <w:p>
      <w:pPr>
        <w:pStyle w:val="BodyText"/>
        <w:spacing w:before="92"/>
        <w:ind w:left="2080" w:right="1070" w:hanging="288"/>
      </w:pPr>
      <w:r>
        <w:rPr/>
        <w:t>From which fish or shellfish are or could be taken and sold in interstate or foreign commerce;</w:t>
      </w:r>
      <w:r>
        <w:rPr>
          <w:spacing w:val="-1"/>
        </w:rPr>
        <w:t> </w:t>
      </w:r>
      <w:r>
        <w:rPr/>
        <w:t>or</w:t>
      </w:r>
    </w:p>
    <w:p>
      <w:pPr>
        <w:pStyle w:val="BodyText"/>
        <w:spacing w:before="10"/>
        <w:rPr>
          <w:sz w:val="20"/>
        </w:rPr>
      </w:pPr>
    </w:p>
    <w:p>
      <w:pPr>
        <w:pStyle w:val="BodyText"/>
        <w:ind w:left="2080" w:right="1243" w:hanging="288"/>
      </w:pPr>
      <w:r>
        <w:rPr/>
        <w:t>Which are used or could be used for industrial purposes by industries in interstate</w:t>
      </w:r>
      <w:r>
        <w:rPr>
          <w:spacing w:val="-1"/>
        </w:rPr>
        <w:t> </w:t>
      </w:r>
      <w:r>
        <w:rPr/>
        <w:t>commerce;</w:t>
      </w:r>
    </w:p>
    <w:p>
      <w:pPr>
        <w:pStyle w:val="BodyText"/>
        <w:spacing w:before="10"/>
        <w:rPr>
          <w:sz w:val="20"/>
        </w:rPr>
      </w:pPr>
    </w:p>
    <w:p>
      <w:pPr>
        <w:pStyle w:val="BodyText"/>
        <w:ind w:left="2079" w:right="1431" w:hanging="288"/>
      </w:pPr>
      <w:r>
        <w:rPr/>
        <w:t>All impoundments of waters otherwise defined as waters of the United States under this definition;</w:t>
      </w:r>
    </w:p>
    <w:p>
      <w:pPr>
        <w:pStyle w:val="BodyText"/>
        <w:spacing w:before="10"/>
        <w:rPr>
          <w:sz w:val="20"/>
        </w:rPr>
      </w:pPr>
    </w:p>
    <w:p>
      <w:pPr>
        <w:pStyle w:val="BodyText"/>
        <w:ind w:left="279"/>
      </w:pPr>
      <w:r>
        <w:rPr/>
        <w:t>Tributaries of waters identified in paragraphs 1 through 4 of this definition;</w:t>
      </w:r>
    </w:p>
    <w:p>
      <w:pPr>
        <w:pStyle w:val="BodyText"/>
        <w:spacing w:before="10"/>
        <w:rPr>
          <w:sz w:val="20"/>
        </w:rPr>
      </w:pPr>
    </w:p>
    <w:p>
      <w:pPr>
        <w:pStyle w:val="BodyText"/>
        <w:ind w:left="280"/>
      </w:pPr>
      <w:r>
        <w:rPr/>
        <w:t>The territorial sea; and</w:t>
      </w:r>
    </w:p>
    <w:p>
      <w:pPr>
        <w:pStyle w:val="BodyText"/>
        <w:spacing w:before="10"/>
        <w:rPr>
          <w:sz w:val="20"/>
        </w:rPr>
      </w:pPr>
    </w:p>
    <w:p>
      <w:pPr>
        <w:pStyle w:val="BodyText"/>
        <w:spacing w:before="1"/>
        <w:ind w:left="280" w:right="1929"/>
      </w:pPr>
      <w:r>
        <w:rPr/>
        <w:t>“Wetlands” adjacent to waters (other than waters that are themselves wetlands) identified in paragraph 1 through 6 of this definition.</w:t>
      </w:r>
    </w:p>
    <w:p>
      <w:pPr>
        <w:pStyle w:val="BodyText"/>
        <w:spacing w:before="9"/>
        <w:rPr>
          <w:sz w:val="20"/>
        </w:rPr>
      </w:pPr>
    </w:p>
    <w:p>
      <w:pPr>
        <w:pStyle w:val="BodyText"/>
        <w:spacing w:before="1"/>
        <w:ind w:left="279" w:right="1102"/>
      </w:pPr>
      <w:r>
        <w:rPr/>
        <w:t>Waste treatment systems, including treatment ponds or lagoons designed to meet the requirements of CWA (other than cooling ponds as defined in 40 CFR section 423.22(m), which also meet the criteria of his definition) are not waters of the United States. This exclusion applies only to man-made bodies of water, which neither were originally created in waters of the United States (such as disposal area in wetlands) nor resulted from the impoundment of waters of the United States. Waters of the United States do not include prior converted cropland. Notwithstanding the determination of an area’s status as prior converted cropland by any other federal agency, for the purposes of the CWA, the final authority regarding CWA jurisdiction remains with USEPA.</w:t>
      </w:r>
    </w:p>
    <w:p>
      <w:pPr>
        <w:pStyle w:val="BodyText"/>
        <w:spacing w:before="10"/>
        <w:rPr>
          <w:sz w:val="20"/>
        </w:rPr>
      </w:pPr>
    </w:p>
    <w:p>
      <w:pPr>
        <w:pStyle w:val="Heading1"/>
        <w:ind w:left="279"/>
      </w:pPr>
      <w:r>
        <w:rPr/>
        <w:t>Watershed Management Program</w:t>
      </w:r>
    </w:p>
    <w:p>
      <w:pPr>
        <w:pStyle w:val="BodyText"/>
        <w:ind w:left="280" w:right="1061"/>
      </w:pPr>
      <w:r>
        <w:rPr/>
        <w:t>A voluntary, alternative compliance pathway where a MS4 or group of MS4s develops a comprehensive program on a watershed or subwatershed scale to achieve compliance with the requirements of this General Permit in a collaborative and holistic manner.</w:t>
      </w:r>
    </w:p>
    <w:p>
      <w:pPr>
        <w:pStyle w:val="BodyText"/>
        <w:ind w:left="280" w:right="1008"/>
      </w:pPr>
      <w:r>
        <w:rPr/>
        <w:t>Through a Watershed Management Program, Permittees can identify and implement customized, cost-effective strategies and BMPs based on the unique characteristics and water quality priorities of the watershed.</w:t>
      </w:r>
    </w:p>
    <w:p>
      <w:pPr>
        <w:pStyle w:val="BodyText"/>
        <w:spacing w:before="9"/>
        <w:rPr>
          <w:sz w:val="20"/>
        </w:rPr>
      </w:pPr>
    </w:p>
    <w:p>
      <w:pPr>
        <w:pStyle w:val="Heading1"/>
        <w:ind w:left="280"/>
        <w:jc w:val="both"/>
      </w:pPr>
      <w:r>
        <w:rPr/>
        <w:t>Water Quality Objectives</w:t>
      </w:r>
    </w:p>
    <w:p>
      <w:pPr>
        <w:pStyle w:val="BodyText"/>
        <w:ind w:left="280" w:right="1424"/>
        <w:jc w:val="both"/>
      </w:pPr>
      <w:r>
        <w:rPr/>
        <w:t>Defined in the CWC as limits or levels of water quality constituents or characteristics which are established for the reasonable protection of beneficial uses of water or the prevention of nuisance within a specific area.</w:t>
      </w:r>
    </w:p>
    <w:p>
      <w:pPr>
        <w:pStyle w:val="BodyText"/>
        <w:spacing w:before="10"/>
        <w:rPr>
          <w:sz w:val="20"/>
        </w:rPr>
      </w:pPr>
    </w:p>
    <w:p>
      <w:pPr>
        <w:pStyle w:val="Heading1"/>
        <w:ind w:left="280"/>
      </w:pPr>
      <w:r>
        <w:rPr/>
        <w:t>Water Quality Standards</w:t>
      </w:r>
    </w:p>
    <w:p>
      <w:pPr>
        <w:pStyle w:val="BodyText"/>
        <w:ind w:left="279" w:right="1103"/>
      </w:pPr>
      <w:r>
        <w:rPr/>
        <w:t>Consists of beneficial uses, water quality objectives to protect those uses, an antidegradation policy, and policies for implementation. Water quality standards are established in Regional Water Quality Control Plans (Basin Plans) and statewide Water Quality Control Plans. USEPA has also adopted water quality criteria (the same as objectives) for California in the National Toxics Rule (NTR) and California Toxics Rule (CTR).</w:t>
      </w:r>
    </w:p>
    <w:p>
      <w:pPr>
        <w:spacing w:after="0"/>
        <w:sectPr>
          <w:pgSz w:w="12240" w:h="15840"/>
          <w:pgMar w:header="728" w:footer="788" w:top="1540" w:bottom="980" w:left="1160" w:right="420"/>
        </w:sectPr>
      </w:pPr>
    </w:p>
    <w:p>
      <w:pPr>
        <w:pStyle w:val="BodyText"/>
        <w:spacing w:before="4"/>
        <w:rPr>
          <w:sz w:val="17"/>
        </w:rPr>
      </w:pPr>
    </w:p>
    <w:p>
      <w:pPr>
        <w:spacing w:after="0"/>
        <w:rPr>
          <w:sz w:val="17"/>
        </w:rPr>
        <w:sectPr>
          <w:pgSz w:w="12240" w:h="15840"/>
          <w:pgMar w:header="728" w:footer="788" w:top="1540" w:bottom="980" w:left="1160" w:right="420"/>
        </w:sectPr>
      </w:pPr>
    </w:p>
    <w:p>
      <w:pPr>
        <w:pStyle w:val="BodyText"/>
        <w:spacing w:before="11"/>
        <w:rPr>
          <w:sz w:val="15"/>
        </w:rPr>
      </w:pPr>
    </w:p>
    <w:p>
      <w:pPr>
        <w:pStyle w:val="Heading1"/>
        <w:spacing w:before="92"/>
        <w:ind w:left="1420" w:right="1930"/>
        <w:jc w:val="center"/>
      </w:pPr>
      <w:r>
        <w:rPr/>
        <w:t>ATTACHMENT B — WATERSHED MANAGEMENT AREA MAPS</w:t>
      </w:r>
    </w:p>
    <w:p>
      <w:pPr>
        <w:pStyle w:val="BodyText"/>
        <w:spacing w:before="10"/>
        <w:rPr>
          <w:b/>
          <w:sz w:val="20"/>
        </w:rPr>
      </w:pPr>
    </w:p>
    <w:p>
      <w:pPr>
        <w:spacing w:before="0"/>
        <w:ind w:left="280" w:right="1104" w:firstLine="0"/>
        <w:jc w:val="left"/>
        <w:rPr>
          <w:b/>
          <w:sz w:val="24"/>
        </w:rPr>
      </w:pPr>
      <w:r>
        <w:rPr/>
        <w:drawing>
          <wp:anchor distT="0" distB="0" distL="0" distR="0" allowOverlap="1" layoutInCell="1" locked="0" behindDoc="0" simplePos="0" relativeHeight="7">
            <wp:simplePos x="0" y="0"/>
            <wp:positionH relativeFrom="page">
              <wp:posOffset>1021684</wp:posOffset>
            </wp:positionH>
            <wp:positionV relativeFrom="paragraph">
              <wp:posOffset>393492</wp:posOffset>
            </wp:positionV>
            <wp:extent cx="5666004" cy="7029450"/>
            <wp:effectExtent l="0" t="0" r="0" b="0"/>
            <wp:wrapTopAndBottom/>
            <wp:docPr id="1" name="image1.jpeg"/>
            <wp:cNvGraphicFramePr>
              <a:graphicFrameLocks noChangeAspect="1"/>
            </wp:cNvGraphicFramePr>
            <a:graphic>
              <a:graphicData uri="http://schemas.openxmlformats.org/drawingml/2006/picture">
                <pic:pic>
                  <pic:nvPicPr>
                    <pic:cNvPr id="2" name="image1.jpeg"/>
                    <pic:cNvPicPr/>
                  </pic:nvPicPr>
                  <pic:blipFill>
                    <a:blip r:embed="rId14" cstate="print"/>
                    <a:stretch>
                      <a:fillRect/>
                    </a:stretch>
                  </pic:blipFill>
                  <pic:spPr>
                    <a:xfrm>
                      <a:off x="0" y="0"/>
                      <a:ext cx="5666004" cy="7029450"/>
                    </a:xfrm>
                    <a:prstGeom prst="rect">
                      <a:avLst/>
                    </a:prstGeom>
                  </pic:spPr>
                </pic:pic>
              </a:graphicData>
            </a:graphic>
          </wp:anchor>
        </w:drawing>
      </w:r>
      <w:r>
        <w:rPr>
          <w:b/>
          <w:sz w:val="24"/>
        </w:rPr>
        <w:t>Figure B-1. Los Cerritos Channel and Alamitos Bay Watershed Management Area Hydrologic Units</w:t>
      </w:r>
    </w:p>
    <w:p>
      <w:pPr>
        <w:spacing w:after="0"/>
        <w:jc w:val="left"/>
        <w:rPr>
          <w:sz w:val="24"/>
        </w:rPr>
        <w:sectPr>
          <w:headerReference w:type="default" r:id="rId12"/>
          <w:footerReference w:type="default" r:id="rId13"/>
          <w:pgSz w:w="12240" w:h="15840"/>
          <w:pgMar w:header="728" w:footer="788" w:top="1540" w:bottom="980" w:left="1160" w:right="420"/>
          <w:pgNumType w:start="1"/>
        </w:sectPr>
      </w:pPr>
    </w:p>
    <w:p>
      <w:pPr>
        <w:pStyle w:val="BodyText"/>
        <w:spacing w:before="11"/>
        <w:rPr>
          <w:b/>
          <w:sz w:val="15"/>
        </w:rPr>
      </w:pPr>
    </w:p>
    <w:p>
      <w:pPr>
        <w:spacing w:before="92"/>
        <w:ind w:left="280" w:right="1025" w:firstLine="0"/>
        <w:jc w:val="left"/>
        <w:rPr>
          <w:b/>
          <w:sz w:val="24"/>
        </w:rPr>
      </w:pPr>
      <w:r>
        <w:rPr/>
        <w:drawing>
          <wp:anchor distT="0" distB="0" distL="0" distR="0" allowOverlap="1" layoutInCell="1" locked="0" behindDoc="0" simplePos="0" relativeHeight="8">
            <wp:simplePos x="0" y="0"/>
            <wp:positionH relativeFrom="page">
              <wp:posOffset>950455</wp:posOffset>
            </wp:positionH>
            <wp:positionV relativeFrom="paragraph">
              <wp:posOffset>462716</wp:posOffset>
            </wp:positionV>
            <wp:extent cx="5918373" cy="7341870"/>
            <wp:effectExtent l="0" t="0" r="0" b="0"/>
            <wp:wrapTopAndBottom/>
            <wp:docPr id="3" name="image2.jpeg"/>
            <wp:cNvGraphicFramePr>
              <a:graphicFrameLocks noChangeAspect="1"/>
            </wp:cNvGraphicFramePr>
            <a:graphic>
              <a:graphicData uri="http://schemas.openxmlformats.org/drawingml/2006/picture">
                <pic:pic>
                  <pic:nvPicPr>
                    <pic:cNvPr id="4" name="image2.jpeg"/>
                    <pic:cNvPicPr/>
                  </pic:nvPicPr>
                  <pic:blipFill>
                    <a:blip r:embed="rId15" cstate="print"/>
                    <a:stretch>
                      <a:fillRect/>
                    </a:stretch>
                  </pic:blipFill>
                  <pic:spPr>
                    <a:xfrm>
                      <a:off x="0" y="0"/>
                      <a:ext cx="5918373" cy="7341870"/>
                    </a:xfrm>
                    <a:prstGeom prst="rect">
                      <a:avLst/>
                    </a:prstGeom>
                  </pic:spPr>
                </pic:pic>
              </a:graphicData>
            </a:graphic>
          </wp:anchor>
        </w:drawing>
      </w:r>
      <w:r>
        <w:rPr>
          <w:b/>
          <w:sz w:val="24"/>
        </w:rPr>
        <w:t>Figure B-2. Dominguez Channel and Los Angeles/Long Beach Harbors Watershed Management Area Hydrologic Units</w:t>
      </w:r>
    </w:p>
    <w:p>
      <w:pPr>
        <w:spacing w:after="0"/>
        <w:jc w:val="left"/>
        <w:rPr>
          <w:sz w:val="24"/>
        </w:rPr>
        <w:sectPr>
          <w:pgSz w:w="12240" w:h="15840"/>
          <w:pgMar w:header="728" w:footer="788" w:top="1540" w:bottom="980" w:left="1160" w:right="420"/>
        </w:sectPr>
      </w:pPr>
    </w:p>
    <w:p>
      <w:pPr>
        <w:pStyle w:val="BodyText"/>
        <w:spacing w:before="11"/>
        <w:rPr>
          <w:b/>
          <w:sz w:val="15"/>
        </w:rPr>
      </w:pPr>
    </w:p>
    <w:p>
      <w:pPr>
        <w:spacing w:before="92"/>
        <w:ind w:left="280" w:right="1372" w:firstLine="0"/>
        <w:jc w:val="left"/>
        <w:rPr>
          <w:b/>
          <w:sz w:val="24"/>
        </w:rPr>
      </w:pPr>
      <w:r>
        <w:rPr/>
        <w:drawing>
          <wp:anchor distT="0" distB="0" distL="0" distR="0" allowOverlap="1" layoutInCell="1" locked="0" behindDoc="0" simplePos="0" relativeHeight="9">
            <wp:simplePos x="0" y="0"/>
            <wp:positionH relativeFrom="page">
              <wp:posOffset>950752</wp:posOffset>
            </wp:positionH>
            <wp:positionV relativeFrom="paragraph">
              <wp:posOffset>444984</wp:posOffset>
            </wp:positionV>
            <wp:extent cx="5981483" cy="7419975"/>
            <wp:effectExtent l="0" t="0" r="0" b="0"/>
            <wp:wrapTopAndBottom/>
            <wp:docPr id="5" name="image3.jpeg"/>
            <wp:cNvGraphicFramePr>
              <a:graphicFrameLocks noChangeAspect="1"/>
            </wp:cNvGraphicFramePr>
            <a:graphic>
              <a:graphicData uri="http://schemas.openxmlformats.org/drawingml/2006/picture">
                <pic:pic>
                  <pic:nvPicPr>
                    <pic:cNvPr id="6" name="image3.jpeg"/>
                    <pic:cNvPicPr/>
                  </pic:nvPicPr>
                  <pic:blipFill>
                    <a:blip r:embed="rId16" cstate="print"/>
                    <a:stretch>
                      <a:fillRect/>
                    </a:stretch>
                  </pic:blipFill>
                  <pic:spPr>
                    <a:xfrm>
                      <a:off x="0" y="0"/>
                      <a:ext cx="5981483" cy="7419975"/>
                    </a:xfrm>
                    <a:prstGeom prst="rect">
                      <a:avLst/>
                    </a:prstGeom>
                  </pic:spPr>
                </pic:pic>
              </a:graphicData>
            </a:graphic>
          </wp:anchor>
        </w:drawing>
      </w:r>
      <w:r>
        <w:rPr>
          <w:b/>
          <w:sz w:val="24"/>
        </w:rPr>
        <w:t>Figure B-3. Machado Lake Subwatershed Hydrologic Unit (Dominguez Channel and Los Angeles/Long Beach Harbors Watershed Management Area)</w:t>
      </w:r>
    </w:p>
    <w:p>
      <w:pPr>
        <w:spacing w:after="0"/>
        <w:jc w:val="left"/>
        <w:rPr>
          <w:sz w:val="24"/>
        </w:rPr>
        <w:sectPr>
          <w:pgSz w:w="12240" w:h="15840"/>
          <w:pgMar w:header="728" w:footer="788" w:top="1540" w:bottom="980" w:left="1160" w:right="420"/>
        </w:sectPr>
      </w:pPr>
    </w:p>
    <w:p>
      <w:pPr>
        <w:pStyle w:val="BodyText"/>
        <w:spacing w:before="11"/>
        <w:rPr>
          <w:b/>
          <w:sz w:val="15"/>
        </w:rPr>
      </w:pPr>
    </w:p>
    <w:p>
      <w:pPr>
        <w:spacing w:before="92"/>
        <w:ind w:left="780" w:right="0" w:firstLine="0"/>
        <w:jc w:val="left"/>
        <w:rPr>
          <w:b/>
          <w:sz w:val="24"/>
        </w:rPr>
      </w:pPr>
      <w:r>
        <w:rPr>
          <w:b/>
          <w:sz w:val="24"/>
        </w:rPr>
        <w:t>ATTACHMENT C — LOS ANGELES REGION STORM DRAIN SYSTEM MAPS</w:t>
      </w:r>
    </w:p>
    <w:p>
      <w:pPr>
        <w:pStyle w:val="BodyText"/>
        <w:spacing w:before="10"/>
        <w:rPr>
          <w:b/>
          <w:sz w:val="20"/>
        </w:rPr>
      </w:pPr>
    </w:p>
    <w:p>
      <w:pPr>
        <w:spacing w:before="0"/>
        <w:ind w:left="280" w:right="1104" w:firstLine="0"/>
        <w:jc w:val="left"/>
        <w:rPr>
          <w:b/>
          <w:sz w:val="24"/>
        </w:rPr>
      </w:pPr>
      <w:r>
        <w:rPr/>
        <w:drawing>
          <wp:anchor distT="0" distB="0" distL="0" distR="0" allowOverlap="1" layoutInCell="1" locked="0" behindDoc="0" simplePos="0" relativeHeight="10">
            <wp:simplePos x="0" y="0"/>
            <wp:positionH relativeFrom="page">
              <wp:posOffset>993609</wp:posOffset>
            </wp:positionH>
            <wp:positionV relativeFrom="paragraph">
              <wp:posOffset>385231</wp:posOffset>
            </wp:positionV>
            <wp:extent cx="5728467" cy="7107555"/>
            <wp:effectExtent l="0" t="0" r="0" b="0"/>
            <wp:wrapTopAndBottom/>
            <wp:docPr id="7" name="image4.jpeg"/>
            <wp:cNvGraphicFramePr>
              <a:graphicFrameLocks noChangeAspect="1"/>
            </wp:cNvGraphicFramePr>
            <a:graphic>
              <a:graphicData uri="http://schemas.openxmlformats.org/drawingml/2006/picture">
                <pic:pic>
                  <pic:nvPicPr>
                    <pic:cNvPr id="8" name="image4.jpeg"/>
                    <pic:cNvPicPr/>
                  </pic:nvPicPr>
                  <pic:blipFill>
                    <a:blip r:embed="rId19" cstate="print"/>
                    <a:stretch>
                      <a:fillRect/>
                    </a:stretch>
                  </pic:blipFill>
                  <pic:spPr>
                    <a:xfrm>
                      <a:off x="0" y="0"/>
                      <a:ext cx="5728467" cy="7107555"/>
                    </a:xfrm>
                    <a:prstGeom prst="rect">
                      <a:avLst/>
                    </a:prstGeom>
                  </pic:spPr>
                </pic:pic>
              </a:graphicData>
            </a:graphic>
          </wp:anchor>
        </w:drawing>
      </w:r>
      <w:r>
        <w:rPr>
          <w:b/>
          <w:sz w:val="24"/>
        </w:rPr>
        <w:t>Figure C-1. Los Cerritos Channel and Alamitos Bay Watershed Management Area Storm Drain System</w:t>
      </w:r>
    </w:p>
    <w:p>
      <w:pPr>
        <w:spacing w:after="0"/>
        <w:jc w:val="left"/>
        <w:rPr>
          <w:sz w:val="24"/>
        </w:rPr>
        <w:sectPr>
          <w:headerReference w:type="default" r:id="rId17"/>
          <w:footerReference w:type="default" r:id="rId18"/>
          <w:pgSz w:w="12240" w:h="15840"/>
          <w:pgMar w:header="728" w:footer="788" w:top="1540" w:bottom="980" w:left="1160" w:right="420"/>
        </w:sectPr>
      </w:pPr>
    </w:p>
    <w:p>
      <w:pPr>
        <w:pStyle w:val="BodyText"/>
        <w:spacing w:before="11"/>
        <w:rPr>
          <w:b/>
          <w:sz w:val="15"/>
        </w:rPr>
      </w:pPr>
    </w:p>
    <w:p>
      <w:pPr>
        <w:spacing w:before="92"/>
        <w:ind w:left="280" w:right="1025" w:firstLine="0"/>
        <w:jc w:val="left"/>
        <w:rPr>
          <w:b/>
          <w:sz w:val="24"/>
        </w:rPr>
      </w:pPr>
      <w:r>
        <w:rPr/>
        <w:drawing>
          <wp:anchor distT="0" distB="0" distL="0" distR="0" allowOverlap="1" layoutInCell="1" locked="0" behindDoc="0" simplePos="0" relativeHeight="11">
            <wp:simplePos x="0" y="0"/>
            <wp:positionH relativeFrom="page">
              <wp:posOffset>941855</wp:posOffset>
            </wp:positionH>
            <wp:positionV relativeFrom="paragraph">
              <wp:posOffset>436087</wp:posOffset>
            </wp:positionV>
            <wp:extent cx="6044559" cy="7488935"/>
            <wp:effectExtent l="0" t="0" r="0" b="0"/>
            <wp:wrapTopAndBottom/>
            <wp:docPr id="9" name="image5.jpeg"/>
            <wp:cNvGraphicFramePr>
              <a:graphicFrameLocks noChangeAspect="1"/>
            </wp:cNvGraphicFramePr>
            <a:graphic>
              <a:graphicData uri="http://schemas.openxmlformats.org/drawingml/2006/picture">
                <pic:pic>
                  <pic:nvPicPr>
                    <pic:cNvPr id="10" name="image5.jpeg"/>
                    <pic:cNvPicPr/>
                  </pic:nvPicPr>
                  <pic:blipFill>
                    <a:blip r:embed="rId22" cstate="print"/>
                    <a:stretch>
                      <a:fillRect/>
                    </a:stretch>
                  </pic:blipFill>
                  <pic:spPr>
                    <a:xfrm>
                      <a:off x="0" y="0"/>
                      <a:ext cx="6044559" cy="7488935"/>
                    </a:xfrm>
                    <a:prstGeom prst="rect">
                      <a:avLst/>
                    </a:prstGeom>
                  </pic:spPr>
                </pic:pic>
              </a:graphicData>
            </a:graphic>
          </wp:anchor>
        </w:drawing>
      </w:r>
      <w:r>
        <w:rPr>
          <w:b/>
          <w:sz w:val="24"/>
        </w:rPr>
        <w:t>Figure C-2. Dominguez Channel and Los Angeles/Long Beach Harbors Watershed Management Area Storm Drain System</w:t>
      </w:r>
    </w:p>
    <w:p>
      <w:pPr>
        <w:spacing w:after="0"/>
        <w:jc w:val="left"/>
        <w:rPr>
          <w:sz w:val="24"/>
        </w:rPr>
        <w:sectPr>
          <w:headerReference w:type="default" r:id="rId20"/>
          <w:footerReference w:type="default" r:id="rId21"/>
          <w:pgSz w:w="12240" w:h="15840"/>
          <w:pgMar w:header="728" w:footer="788" w:top="1540" w:bottom="980" w:left="1160" w:right="420"/>
        </w:sectPr>
      </w:pPr>
    </w:p>
    <w:p>
      <w:pPr>
        <w:pStyle w:val="BodyText"/>
        <w:spacing w:before="11"/>
        <w:rPr>
          <w:b/>
          <w:sz w:val="15"/>
        </w:rPr>
      </w:pPr>
    </w:p>
    <w:p>
      <w:pPr>
        <w:spacing w:before="92"/>
        <w:ind w:left="280" w:right="1491" w:firstLine="0"/>
        <w:jc w:val="left"/>
        <w:rPr>
          <w:b/>
          <w:sz w:val="24"/>
        </w:rPr>
      </w:pPr>
      <w:r>
        <w:rPr/>
        <w:drawing>
          <wp:anchor distT="0" distB="0" distL="0" distR="0" allowOverlap="1" layoutInCell="1" locked="0" behindDoc="0" simplePos="0" relativeHeight="12">
            <wp:simplePos x="0" y="0"/>
            <wp:positionH relativeFrom="page">
              <wp:posOffset>950042</wp:posOffset>
            </wp:positionH>
            <wp:positionV relativeFrom="paragraph">
              <wp:posOffset>435364</wp:posOffset>
            </wp:positionV>
            <wp:extent cx="5855471" cy="7263765"/>
            <wp:effectExtent l="0" t="0" r="0" b="0"/>
            <wp:wrapTopAndBottom/>
            <wp:docPr id="11" name="image6.jpeg"/>
            <wp:cNvGraphicFramePr>
              <a:graphicFrameLocks noChangeAspect="1"/>
            </wp:cNvGraphicFramePr>
            <a:graphic>
              <a:graphicData uri="http://schemas.openxmlformats.org/drawingml/2006/picture">
                <pic:pic>
                  <pic:nvPicPr>
                    <pic:cNvPr id="12" name="image6.jpeg"/>
                    <pic:cNvPicPr/>
                  </pic:nvPicPr>
                  <pic:blipFill>
                    <a:blip r:embed="rId25" cstate="print"/>
                    <a:stretch>
                      <a:fillRect/>
                    </a:stretch>
                  </pic:blipFill>
                  <pic:spPr>
                    <a:xfrm>
                      <a:off x="0" y="0"/>
                      <a:ext cx="5855471" cy="7263765"/>
                    </a:xfrm>
                    <a:prstGeom prst="rect">
                      <a:avLst/>
                    </a:prstGeom>
                  </pic:spPr>
                </pic:pic>
              </a:graphicData>
            </a:graphic>
          </wp:anchor>
        </w:drawing>
      </w:r>
      <w:r>
        <w:rPr>
          <w:b/>
          <w:sz w:val="24"/>
        </w:rPr>
        <w:t>Figure C-3. Machado Lake Subwatershed Storm Drain System (Dominguez Channel and Los Angeles/Long Beach Harbors Watershed Management Area)</w:t>
      </w:r>
    </w:p>
    <w:p>
      <w:pPr>
        <w:spacing w:after="0"/>
        <w:jc w:val="left"/>
        <w:rPr>
          <w:sz w:val="24"/>
        </w:rPr>
        <w:sectPr>
          <w:headerReference w:type="default" r:id="rId23"/>
          <w:footerReference w:type="default" r:id="rId24"/>
          <w:pgSz w:w="12240" w:h="15840"/>
          <w:pgMar w:header="728" w:footer="788" w:top="1540" w:bottom="980" w:left="1160" w:right="420"/>
        </w:sectPr>
      </w:pPr>
    </w:p>
    <w:p>
      <w:pPr>
        <w:pStyle w:val="BodyText"/>
        <w:spacing w:before="11"/>
        <w:rPr>
          <w:b/>
          <w:sz w:val="15"/>
        </w:rPr>
      </w:pPr>
    </w:p>
    <w:p>
      <w:pPr>
        <w:spacing w:line="448" w:lineRule="auto" w:before="92"/>
        <w:ind w:left="3666" w:right="2973" w:hanging="1186"/>
        <w:jc w:val="left"/>
        <w:rPr>
          <w:b/>
          <w:sz w:val="24"/>
        </w:rPr>
      </w:pPr>
      <w:r>
        <w:rPr>
          <w:b/>
          <w:sz w:val="24"/>
        </w:rPr>
        <w:t>ATTACHMENT D — STANDARD PROVISIONS TABLE OF CONTENTS</w:t>
      </w:r>
    </w:p>
    <w:p>
      <w:pPr>
        <w:pStyle w:val="BodyText"/>
        <w:tabs>
          <w:tab w:pos="819" w:val="left" w:leader="none"/>
          <w:tab w:pos="9261" w:val="left" w:leader="dot"/>
        </w:tabs>
        <w:ind w:left="280"/>
      </w:pPr>
      <w:r>
        <w:rPr/>
        <w:t>1.</w:t>
        <w:tab/>
        <w:t>Permit</w:t>
      </w:r>
      <w:r>
        <w:rPr>
          <w:spacing w:val="-4"/>
        </w:rPr>
        <w:t> </w:t>
      </w:r>
      <w:r>
        <w:rPr/>
        <w:t>Compliance</w:t>
        <w:tab/>
        <w:t>D-3</w:t>
      </w:r>
    </w:p>
    <w:p>
      <w:pPr>
        <w:pStyle w:val="BodyText"/>
        <w:spacing w:before="60"/>
        <w:ind w:left="524" w:right="1007"/>
        <w:jc w:val="right"/>
      </w:pPr>
      <w:r>
        <w:rPr/>
        <w:t>1.1. Duty to Comply .................................................................................................</w:t>
      </w:r>
      <w:r>
        <w:rPr>
          <w:spacing w:val="-39"/>
        </w:rPr>
        <w:t> </w:t>
      </w:r>
      <w:r>
        <w:rPr/>
        <w:t>D-3</w:t>
      </w:r>
    </w:p>
    <w:p>
      <w:pPr>
        <w:pStyle w:val="BodyText"/>
        <w:spacing w:line="292" w:lineRule="auto" w:before="60"/>
        <w:ind w:left="524" w:right="1007"/>
        <w:jc w:val="right"/>
      </w:pPr>
      <w:r>
        <w:rPr/>
        <w:t>1.2. Need to Halt or Reduce Activity Not a Defense</w:t>
      </w:r>
      <w:r>
        <w:rPr>
          <w:spacing w:val="-56"/>
        </w:rPr>
        <w:t> </w:t>
      </w:r>
      <w:r>
        <w:rPr/>
        <w:t>................................................</w:t>
      </w:r>
      <w:r>
        <w:rPr>
          <w:spacing w:val="-4"/>
        </w:rPr>
        <w:t> </w:t>
      </w:r>
      <w:r>
        <w:rPr/>
        <w:t>D-3 1.3. Duty to Mitigate.................................................................................................</w:t>
      </w:r>
      <w:r>
        <w:rPr>
          <w:spacing w:val="4"/>
        </w:rPr>
        <w:t> </w:t>
      </w:r>
      <w:r>
        <w:rPr/>
        <w:t>D-3</w:t>
      </w:r>
    </w:p>
    <w:p>
      <w:pPr>
        <w:pStyle w:val="BodyText"/>
        <w:spacing w:line="275" w:lineRule="exact"/>
        <w:ind w:left="524" w:right="1013"/>
        <w:jc w:val="right"/>
      </w:pPr>
      <w:r>
        <w:rPr/>
        <w:t>1.4. Proper Operation and Maintenance..................................................................</w:t>
      </w:r>
      <w:r>
        <w:rPr>
          <w:spacing w:val="-2"/>
        </w:rPr>
        <w:t> </w:t>
      </w:r>
      <w:r>
        <w:rPr/>
        <w:t>D-3</w:t>
      </w:r>
    </w:p>
    <w:p>
      <w:pPr>
        <w:pStyle w:val="BodyText"/>
        <w:spacing w:before="60"/>
        <w:ind w:left="524" w:right="1010"/>
        <w:jc w:val="right"/>
      </w:pPr>
      <w:r>
        <w:rPr/>
        <w:t>1.5. Property Rights</w:t>
      </w:r>
      <w:r>
        <w:rPr>
          <w:spacing w:val="-56"/>
        </w:rPr>
        <w:t> </w:t>
      </w:r>
      <w:r>
        <w:rPr/>
        <w:t>................................................................................................. D-3</w:t>
      </w:r>
    </w:p>
    <w:p>
      <w:pPr>
        <w:pStyle w:val="BodyText"/>
        <w:spacing w:before="60"/>
        <w:ind w:left="524" w:right="1010"/>
        <w:jc w:val="right"/>
      </w:pPr>
      <w:r>
        <w:rPr/>
        <w:t>1.6. Inspection and Entry</w:t>
      </w:r>
      <w:r>
        <w:rPr>
          <w:spacing w:val="-54"/>
        </w:rPr>
        <w:t> </w:t>
      </w:r>
      <w:r>
        <w:rPr/>
        <w:t>......................................................................................... D-4</w:t>
      </w:r>
    </w:p>
    <w:p>
      <w:pPr>
        <w:pStyle w:val="BodyText"/>
        <w:spacing w:before="60"/>
        <w:ind w:left="524" w:right="1006"/>
        <w:jc w:val="right"/>
      </w:pPr>
      <w:r>
        <w:rPr/>
        <w:t>1.7. Bypass..............................................................................................................</w:t>
      </w:r>
      <w:r>
        <w:rPr>
          <w:spacing w:val="13"/>
        </w:rPr>
        <w:t> </w:t>
      </w:r>
      <w:r>
        <w:rPr/>
        <w:t>D-4</w:t>
      </w:r>
    </w:p>
    <w:p>
      <w:pPr>
        <w:pStyle w:val="BodyText"/>
        <w:tabs>
          <w:tab w:pos="844" w:val="left" w:leader="none"/>
        </w:tabs>
        <w:spacing w:before="60"/>
        <w:ind w:right="1017"/>
        <w:jc w:val="right"/>
      </w:pPr>
      <w:r>
        <w:rPr/>
        <w:t>1.7.1.</w:t>
        <w:tab/>
        <w:t>Definitions</w:t>
      </w:r>
      <w:r>
        <w:rPr>
          <w:spacing w:val="-51"/>
        </w:rPr>
        <w:t> </w:t>
      </w:r>
      <w:r>
        <w:rPr/>
        <w:t>................................................................................................</w:t>
      </w:r>
      <w:r>
        <w:rPr>
          <w:spacing w:val="-18"/>
        </w:rPr>
        <w:t> </w:t>
      </w:r>
      <w:r>
        <w:rPr/>
        <w:t>D-4</w:t>
      </w:r>
    </w:p>
    <w:p>
      <w:pPr>
        <w:pStyle w:val="BodyText"/>
        <w:tabs>
          <w:tab w:pos="844" w:val="left" w:leader="none"/>
        </w:tabs>
        <w:ind w:right="1021"/>
        <w:jc w:val="right"/>
      </w:pPr>
      <w:r>
        <w:rPr/>
        <w:t>1.7.2.</w:t>
        <w:tab/>
        <w:t>Bypass not exceeding limitations.............................................................</w:t>
      </w:r>
      <w:r>
        <w:rPr>
          <w:spacing w:val="-25"/>
        </w:rPr>
        <w:t> </w:t>
      </w:r>
      <w:r>
        <w:rPr/>
        <w:t>D-5</w:t>
      </w:r>
    </w:p>
    <w:p>
      <w:pPr>
        <w:pStyle w:val="BodyText"/>
        <w:tabs>
          <w:tab w:pos="844" w:val="left" w:leader="none"/>
        </w:tabs>
        <w:ind w:right="1020"/>
        <w:jc w:val="right"/>
      </w:pPr>
      <w:r>
        <w:rPr/>
        <w:t>1.7.3.</w:t>
        <w:tab/>
        <w:t>Prohibition of bypass ...............................................................................</w:t>
      </w:r>
      <w:r>
        <w:rPr>
          <w:spacing w:val="-41"/>
        </w:rPr>
        <w:t> </w:t>
      </w:r>
      <w:r>
        <w:rPr/>
        <w:t>D-5</w:t>
      </w:r>
    </w:p>
    <w:p>
      <w:pPr>
        <w:pStyle w:val="BodyText"/>
        <w:tabs>
          <w:tab w:pos="844" w:val="left" w:leader="none"/>
        </w:tabs>
        <w:ind w:right="1018"/>
        <w:jc w:val="right"/>
      </w:pPr>
      <w:r>
        <w:rPr/>
        <w:t>1.7.4.</w:t>
        <w:tab/>
        <w:t>Burden of Proof .......................................................................................</w:t>
      </w:r>
      <w:r>
        <w:rPr>
          <w:spacing w:val="-23"/>
        </w:rPr>
        <w:t> </w:t>
      </w:r>
      <w:r>
        <w:rPr/>
        <w:t>D-5</w:t>
      </w:r>
    </w:p>
    <w:p>
      <w:pPr>
        <w:pStyle w:val="BodyText"/>
        <w:tabs>
          <w:tab w:pos="844" w:val="left" w:leader="none"/>
        </w:tabs>
        <w:ind w:right="1016"/>
        <w:jc w:val="right"/>
      </w:pPr>
      <w:r>
        <w:rPr/>
        <w:t>1.7.5.</w:t>
        <w:tab/>
        <w:t>Notice ......................................................................................................</w:t>
      </w:r>
      <w:r>
        <w:rPr>
          <w:spacing w:val="-29"/>
        </w:rPr>
        <w:t> </w:t>
      </w:r>
      <w:r>
        <w:rPr/>
        <w:t>D-5</w:t>
      </w:r>
    </w:p>
    <w:p>
      <w:pPr>
        <w:pStyle w:val="BodyText"/>
        <w:tabs>
          <w:tab w:pos="1040" w:val="left" w:leader="none"/>
        </w:tabs>
        <w:ind w:right="1020"/>
        <w:jc w:val="right"/>
      </w:pPr>
      <w:r>
        <w:rPr/>
        <w:t>1.7.5.1.</w:t>
        <w:tab/>
        <w:t>Anticipated bypass</w:t>
      </w:r>
      <w:r>
        <w:rPr>
          <w:spacing w:val="-52"/>
        </w:rPr>
        <w:t> </w:t>
      </w:r>
      <w:r>
        <w:rPr/>
        <w:t>............................................................................ D-5</w:t>
      </w:r>
    </w:p>
    <w:p>
      <w:pPr>
        <w:pStyle w:val="BodyText"/>
        <w:tabs>
          <w:tab w:pos="1040" w:val="left" w:leader="none"/>
        </w:tabs>
        <w:spacing w:before="100"/>
        <w:ind w:right="1020"/>
        <w:jc w:val="right"/>
      </w:pPr>
      <w:r>
        <w:rPr/>
        <w:t>1.7.5.2.</w:t>
        <w:tab/>
        <w:t>Unanticipated bypass........................................................................</w:t>
      </w:r>
      <w:r>
        <w:rPr>
          <w:spacing w:val="-6"/>
        </w:rPr>
        <w:t> </w:t>
      </w:r>
      <w:r>
        <w:rPr/>
        <w:t>D-6</w:t>
      </w:r>
    </w:p>
    <w:p>
      <w:pPr>
        <w:pStyle w:val="BodyText"/>
        <w:spacing w:before="100"/>
        <w:ind w:left="524" w:right="1006"/>
        <w:jc w:val="right"/>
      </w:pPr>
      <w:r>
        <w:rPr/>
        <w:t>1.8. Upset ................................................................................................................</w:t>
      </w:r>
      <w:r>
        <w:rPr>
          <w:spacing w:val="-28"/>
        </w:rPr>
        <w:t> </w:t>
      </w:r>
      <w:r>
        <w:rPr/>
        <w:t>D-6</w:t>
      </w:r>
    </w:p>
    <w:p>
      <w:pPr>
        <w:pStyle w:val="BodyText"/>
        <w:tabs>
          <w:tab w:pos="844" w:val="left" w:leader="none"/>
        </w:tabs>
        <w:spacing w:before="60"/>
        <w:ind w:right="1020"/>
        <w:jc w:val="right"/>
      </w:pPr>
      <w:r>
        <w:rPr/>
        <w:t>1.8.1.</w:t>
        <w:tab/>
        <w:t>Effect of an upset.....................................................................................</w:t>
      </w:r>
      <w:r>
        <w:rPr>
          <w:spacing w:val="-6"/>
        </w:rPr>
        <w:t> </w:t>
      </w:r>
      <w:r>
        <w:rPr/>
        <w:t>D-6</w:t>
      </w:r>
    </w:p>
    <w:p>
      <w:pPr>
        <w:pStyle w:val="BodyText"/>
        <w:tabs>
          <w:tab w:pos="1599" w:val="left" w:leader="none"/>
        </w:tabs>
        <w:ind w:left="755" w:right="1018"/>
        <w:jc w:val="right"/>
      </w:pPr>
      <w:r>
        <w:rPr/>
        <w:t>1.8.2.</w:t>
        <w:tab/>
        <w:t>Conditions</w:t>
      </w:r>
      <w:r>
        <w:rPr>
          <w:spacing w:val="-5"/>
        </w:rPr>
        <w:t> </w:t>
      </w:r>
      <w:r>
        <w:rPr/>
        <w:t>necessary</w:t>
      </w:r>
      <w:r>
        <w:rPr>
          <w:spacing w:val="-4"/>
        </w:rPr>
        <w:t> </w:t>
      </w:r>
      <w:r>
        <w:rPr/>
        <w:t>for</w:t>
      </w:r>
      <w:r>
        <w:rPr>
          <w:spacing w:val="-3"/>
        </w:rPr>
        <w:t> </w:t>
      </w:r>
      <w:r>
        <w:rPr/>
        <w:t>a</w:t>
      </w:r>
      <w:r>
        <w:rPr>
          <w:spacing w:val="-5"/>
        </w:rPr>
        <w:t> </w:t>
      </w:r>
      <w:r>
        <w:rPr/>
        <w:t>demonstration</w:t>
      </w:r>
      <w:r>
        <w:rPr>
          <w:spacing w:val="-4"/>
        </w:rPr>
        <w:t> </w:t>
      </w:r>
      <w:r>
        <w:rPr/>
        <w:t>of</w:t>
      </w:r>
      <w:r>
        <w:rPr>
          <w:spacing w:val="-4"/>
        </w:rPr>
        <w:t> </w:t>
      </w:r>
      <w:r>
        <w:rPr/>
        <w:t>upset</w:t>
      </w:r>
      <w:r>
        <w:rPr>
          <w:spacing w:val="-47"/>
        </w:rPr>
        <w:t> </w:t>
      </w:r>
      <w:r>
        <w:rPr/>
        <w:t>.................................</w:t>
      </w:r>
      <w:r>
        <w:rPr>
          <w:spacing w:val="-14"/>
        </w:rPr>
        <w:t> </w:t>
      </w:r>
      <w:r>
        <w:rPr/>
        <w:t>D-6 1.8.3.</w:t>
        <w:tab/>
        <w:t>Burden of Proof .......................................................................................</w:t>
      </w:r>
      <w:r>
        <w:rPr>
          <w:spacing w:val="-23"/>
        </w:rPr>
        <w:t> </w:t>
      </w:r>
      <w:r>
        <w:rPr/>
        <w:t>D-7</w:t>
      </w:r>
    </w:p>
    <w:p>
      <w:pPr>
        <w:pStyle w:val="BodyText"/>
        <w:tabs>
          <w:tab w:pos="539" w:val="left" w:leader="none"/>
        </w:tabs>
        <w:ind w:right="1008"/>
        <w:jc w:val="right"/>
      </w:pPr>
      <w:r>
        <w:rPr/>
        <w:t>2.</w:t>
        <w:tab/>
        <w:t>Permit Action</w:t>
      </w:r>
      <w:r>
        <w:rPr>
          <w:spacing w:val="-50"/>
        </w:rPr>
        <w:t> </w:t>
      </w:r>
      <w:r>
        <w:rPr/>
        <w:t>....................................................................................................... D-7</w:t>
      </w:r>
    </w:p>
    <w:p>
      <w:pPr>
        <w:pStyle w:val="BodyText"/>
        <w:spacing w:before="60"/>
        <w:ind w:left="524" w:right="1006"/>
        <w:jc w:val="right"/>
      </w:pPr>
      <w:r>
        <w:rPr/>
        <w:t>2.1. General.............................................................................................................</w:t>
      </w:r>
      <w:r>
        <w:rPr>
          <w:spacing w:val="7"/>
        </w:rPr>
        <w:t> </w:t>
      </w:r>
      <w:r>
        <w:rPr/>
        <w:t>D-7</w:t>
      </w:r>
    </w:p>
    <w:p>
      <w:pPr>
        <w:pStyle w:val="BodyText"/>
        <w:spacing w:before="60"/>
        <w:ind w:left="524" w:right="1009"/>
        <w:jc w:val="right"/>
      </w:pPr>
      <w:r>
        <w:rPr/>
        <w:t>2.2. Duty to Reapply ................................................................................................</w:t>
      </w:r>
      <w:r>
        <w:rPr>
          <w:spacing w:val="-38"/>
        </w:rPr>
        <w:t> </w:t>
      </w:r>
      <w:r>
        <w:rPr/>
        <w:t>D-7</w:t>
      </w:r>
    </w:p>
    <w:p>
      <w:pPr>
        <w:pStyle w:val="BodyText"/>
        <w:spacing w:before="60"/>
        <w:ind w:left="524" w:right="1006"/>
        <w:jc w:val="right"/>
      </w:pPr>
      <w:r>
        <w:rPr/>
        <w:t>2.3. Transfers ..........................................................................................................</w:t>
      </w:r>
      <w:r>
        <w:rPr>
          <w:spacing w:val="-13"/>
        </w:rPr>
        <w:t> </w:t>
      </w:r>
      <w:r>
        <w:rPr/>
        <w:t>D-7</w:t>
      </w:r>
    </w:p>
    <w:p>
      <w:pPr>
        <w:pStyle w:val="BodyText"/>
        <w:tabs>
          <w:tab w:pos="539" w:val="left" w:leader="none"/>
        </w:tabs>
        <w:spacing w:before="60"/>
        <w:ind w:right="1006"/>
        <w:jc w:val="right"/>
      </w:pPr>
      <w:r>
        <w:rPr/>
        <w:t>3.</w:t>
        <w:tab/>
        <w:t>Monitoring ...........................................................................................................</w:t>
      </w:r>
      <w:r>
        <w:rPr>
          <w:spacing w:val="-19"/>
        </w:rPr>
        <w:t> </w:t>
      </w:r>
      <w:r>
        <w:rPr/>
        <w:t>D-7</w:t>
      </w:r>
    </w:p>
    <w:p>
      <w:pPr>
        <w:pStyle w:val="BodyText"/>
        <w:spacing w:before="60"/>
        <w:ind w:left="524" w:right="1011"/>
        <w:jc w:val="right"/>
      </w:pPr>
      <w:r>
        <w:rPr/>
        <w:t>3.1. Samples and measurements</w:t>
      </w:r>
      <w:r>
        <w:rPr>
          <w:spacing w:val="-55"/>
        </w:rPr>
        <w:t> </w:t>
      </w:r>
      <w:r>
        <w:rPr/>
        <w:t>............................................................................ D-7</w:t>
      </w:r>
    </w:p>
    <w:p>
      <w:pPr>
        <w:pStyle w:val="BodyText"/>
        <w:spacing w:before="60"/>
        <w:ind w:left="524" w:right="1006"/>
        <w:jc w:val="right"/>
      </w:pPr>
      <w:r>
        <w:rPr/>
        <w:t>3.2. Monitoring.........................................................................................................</w:t>
      </w:r>
      <w:r>
        <w:rPr>
          <w:spacing w:val="7"/>
        </w:rPr>
        <w:t> </w:t>
      </w:r>
      <w:r>
        <w:rPr/>
        <w:t>D-7</w:t>
      </w:r>
    </w:p>
    <w:p>
      <w:pPr>
        <w:pStyle w:val="BodyText"/>
        <w:tabs>
          <w:tab w:pos="539" w:val="left" w:leader="none"/>
        </w:tabs>
        <w:spacing w:before="60"/>
        <w:ind w:right="1006"/>
        <w:jc w:val="right"/>
      </w:pPr>
      <w:r>
        <w:rPr/>
        <w:t>4.</w:t>
        <w:tab/>
        <w:t>Records...............................................................................................................</w:t>
      </w:r>
      <w:r>
        <w:rPr>
          <w:spacing w:val="14"/>
        </w:rPr>
        <w:t> </w:t>
      </w:r>
      <w:r>
        <w:rPr/>
        <w:t>D-8</w:t>
      </w:r>
    </w:p>
    <w:p>
      <w:pPr>
        <w:pStyle w:val="BodyText"/>
        <w:spacing w:before="60"/>
        <w:ind w:left="524" w:right="1013"/>
        <w:jc w:val="right"/>
      </w:pPr>
      <w:r>
        <w:rPr/>
        <w:t>4.1. Monitoring Information Record Requirements ..................................................</w:t>
      </w:r>
      <w:r>
        <w:rPr>
          <w:spacing w:val="-45"/>
        </w:rPr>
        <w:t> </w:t>
      </w:r>
      <w:r>
        <w:rPr/>
        <w:t>D-8</w:t>
      </w:r>
    </w:p>
    <w:p>
      <w:pPr>
        <w:pStyle w:val="BodyText"/>
        <w:spacing w:line="292" w:lineRule="auto" w:before="60"/>
        <w:ind w:left="524" w:right="1010"/>
        <w:jc w:val="right"/>
      </w:pPr>
      <w:r>
        <w:rPr/>
        <w:t>4.2.</w:t>
      </w:r>
      <w:r>
        <w:rPr>
          <w:spacing w:val="2"/>
        </w:rPr>
        <w:t> </w:t>
      </w:r>
      <w:r>
        <w:rPr/>
        <w:t>Best</w:t>
      </w:r>
      <w:r>
        <w:rPr>
          <w:spacing w:val="-6"/>
        </w:rPr>
        <w:t> </w:t>
      </w:r>
      <w:r>
        <w:rPr/>
        <w:t>Management</w:t>
      </w:r>
      <w:r>
        <w:rPr>
          <w:spacing w:val="-5"/>
        </w:rPr>
        <w:t> </w:t>
      </w:r>
      <w:r>
        <w:rPr/>
        <w:t>Practice</w:t>
      </w:r>
      <w:r>
        <w:rPr>
          <w:spacing w:val="-5"/>
        </w:rPr>
        <w:t> </w:t>
      </w:r>
      <w:r>
        <w:rPr/>
        <w:t>Record</w:t>
      </w:r>
      <w:r>
        <w:rPr>
          <w:spacing w:val="-5"/>
        </w:rPr>
        <w:t> </w:t>
      </w:r>
      <w:r>
        <w:rPr/>
        <w:t>Requirements</w:t>
      </w:r>
      <w:r>
        <w:rPr>
          <w:spacing w:val="-52"/>
        </w:rPr>
        <w:t> </w:t>
      </w:r>
      <w:r>
        <w:rPr/>
        <w:t>...........................................</w:t>
      </w:r>
      <w:r>
        <w:rPr>
          <w:spacing w:val="-7"/>
        </w:rPr>
        <w:t> </w:t>
      </w:r>
      <w:r>
        <w:rPr/>
        <w:t>D-9 4.3. Claims of Confidentiality ...................................................................................</w:t>
      </w:r>
      <w:r>
        <w:rPr>
          <w:spacing w:val="-39"/>
        </w:rPr>
        <w:t> </w:t>
      </w:r>
      <w:r>
        <w:rPr/>
        <w:t>D-9</w:t>
      </w:r>
    </w:p>
    <w:p>
      <w:pPr>
        <w:pStyle w:val="BodyText"/>
        <w:tabs>
          <w:tab w:pos="539" w:val="left" w:leader="none"/>
        </w:tabs>
        <w:spacing w:line="275" w:lineRule="exact"/>
        <w:ind w:right="1006"/>
        <w:jc w:val="right"/>
      </w:pPr>
      <w:r>
        <w:rPr/>
        <w:t>5.</w:t>
        <w:tab/>
        <w:t>Reporting.............................................................................................................</w:t>
      </w:r>
      <w:r>
        <w:rPr>
          <w:spacing w:val="-6"/>
        </w:rPr>
        <w:t> </w:t>
      </w:r>
      <w:r>
        <w:rPr/>
        <w:t>D-9</w:t>
      </w:r>
    </w:p>
    <w:p>
      <w:pPr>
        <w:pStyle w:val="BodyText"/>
        <w:spacing w:before="60"/>
        <w:ind w:left="524" w:right="1009"/>
        <w:jc w:val="right"/>
      </w:pPr>
      <w:r>
        <w:rPr/>
        <w:t>5.1. Duty to Provide Information ..............................................................................</w:t>
      </w:r>
      <w:r>
        <w:rPr>
          <w:spacing w:val="-35"/>
        </w:rPr>
        <w:t> </w:t>
      </w:r>
      <w:r>
        <w:rPr/>
        <w:t>D-9</w:t>
      </w:r>
    </w:p>
    <w:p>
      <w:pPr>
        <w:pStyle w:val="BodyText"/>
        <w:spacing w:line="292" w:lineRule="auto" w:before="60"/>
        <w:ind w:left="524" w:right="1009"/>
        <w:jc w:val="right"/>
      </w:pPr>
      <w:r>
        <w:rPr/>
        <w:t>5.2. Signatory and Certification Requirements</w:t>
      </w:r>
      <w:r>
        <w:rPr>
          <w:spacing w:val="-33"/>
        </w:rPr>
        <w:t> </w:t>
      </w:r>
      <w:r>
        <w:rPr/>
        <w:t>........................................................</w:t>
      </w:r>
      <w:r>
        <w:rPr>
          <w:spacing w:val="-6"/>
        </w:rPr>
        <w:t> </w:t>
      </w:r>
      <w:r>
        <w:rPr/>
        <w:t>D-9 5.3. Monitoring Reports .........................................................................................</w:t>
      </w:r>
      <w:r>
        <w:rPr>
          <w:spacing w:val="-26"/>
        </w:rPr>
        <w:t> </w:t>
      </w:r>
      <w:r>
        <w:rPr/>
        <w:t>D-11</w:t>
      </w:r>
    </w:p>
    <w:p>
      <w:pPr>
        <w:pStyle w:val="BodyText"/>
        <w:spacing w:line="275" w:lineRule="exact"/>
        <w:ind w:left="524" w:right="1010"/>
        <w:jc w:val="right"/>
      </w:pPr>
      <w:r>
        <w:rPr/>
        <w:t>5.4. Compliance Schedules</w:t>
      </w:r>
      <w:r>
        <w:rPr>
          <w:spacing w:val="-56"/>
        </w:rPr>
        <w:t> </w:t>
      </w:r>
      <w:r>
        <w:rPr/>
        <w:t>................................................................................... D-12</w:t>
      </w:r>
    </w:p>
    <w:p>
      <w:pPr>
        <w:spacing w:after="0" w:line="275" w:lineRule="exact"/>
        <w:jc w:val="right"/>
        <w:sectPr>
          <w:headerReference w:type="default" r:id="rId26"/>
          <w:footerReference w:type="default" r:id="rId27"/>
          <w:pgSz w:w="12240" w:h="15840"/>
          <w:pgMar w:header="728" w:footer="788" w:top="1540" w:bottom="980" w:left="1160" w:right="420"/>
        </w:sectPr>
      </w:pPr>
    </w:p>
    <w:p>
      <w:pPr>
        <w:pStyle w:val="BodyText"/>
        <w:spacing w:before="11"/>
        <w:rPr>
          <w:sz w:val="15"/>
        </w:rPr>
      </w:pPr>
    </w:p>
    <w:p>
      <w:pPr>
        <w:pStyle w:val="BodyText"/>
        <w:tabs>
          <w:tab w:pos="9120" w:val="left" w:leader="dot"/>
        </w:tabs>
        <w:spacing w:before="92"/>
        <w:ind w:left="524"/>
      </w:pPr>
      <w:r>
        <w:rPr/>
        <w:t>5.5. Twenty-Four</w:t>
      </w:r>
      <w:r>
        <w:rPr>
          <w:spacing w:val="4"/>
        </w:rPr>
        <w:t> </w:t>
      </w:r>
      <w:r>
        <w:rPr/>
        <w:t>Hour</w:t>
      </w:r>
      <w:r>
        <w:rPr>
          <w:spacing w:val="-1"/>
        </w:rPr>
        <w:t> </w:t>
      </w:r>
      <w:r>
        <w:rPr/>
        <w:t>Reporting</w:t>
        <w:tab/>
        <w:t>D-12</w:t>
      </w:r>
    </w:p>
    <w:p>
      <w:pPr>
        <w:pStyle w:val="BodyText"/>
        <w:spacing w:before="60"/>
        <w:ind w:left="524"/>
      </w:pPr>
      <w:r>
        <w:rPr/>
        <w:t>5.6. Planned Changes ...........................................................................................</w:t>
      </w:r>
      <w:r>
        <w:rPr>
          <w:spacing w:val="-42"/>
        </w:rPr>
        <w:t> </w:t>
      </w:r>
      <w:r>
        <w:rPr/>
        <w:t>D-13</w:t>
      </w:r>
    </w:p>
    <w:p>
      <w:pPr>
        <w:pStyle w:val="BodyText"/>
        <w:spacing w:before="60"/>
        <w:ind w:left="524"/>
      </w:pPr>
      <w:r>
        <w:rPr/>
        <w:t>5.7. Anticipated Noncompliance ............................................................................</w:t>
      </w:r>
      <w:r>
        <w:rPr>
          <w:spacing w:val="-40"/>
        </w:rPr>
        <w:t> </w:t>
      </w:r>
      <w:r>
        <w:rPr/>
        <w:t>D-13</w:t>
      </w:r>
    </w:p>
    <w:p>
      <w:pPr>
        <w:pStyle w:val="BodyText"/>
        <w:spacing w:before="60"/>
        <w:ind w:left="524"/>
      </w:pPr>
      <w:r>
        <w:rPr/>
        <w:t>5.8. Other Noncompliance</w:t>
      </w:r>
      <w:r>
        <w:rPr>
          <w:spacing w:val="-49"/>
        </w:rPr>
        <w:t> </w:t>
      </w:r>
      <w:r>
        <w:rPr/>
        <w:t>..................................................................................... D-13</w:t>
      </w:r>
    </w:p>
    <w:p>
      <w:pPr>
        <w:pStyle w:val="BodyText"/>
        <w:spacing w:before="60"/>
        <w:ind w:left="524"/>
      </w:pPr>
      <w:r>
        <w:rPr/>
        <w:t>5.9. Other Information............................................................................................</w:t>
      </w:r>
      <w:r>
        <w:rPr>
          <w:spacing w:val="7"/>
        </w:rPr>
        <w:t> </w:t>
      </w:r>
      <w:r>
        <w:rPr/>
        <w:t>D-14</w:t>
      </w:r>
    </w:p>
    <w:p>
      <w:pPr>
        <w:pStyle w:val="BodyText"/>
        <w:tabs>
          <w:tab w:pos="819" w:val="left" w:leader="none"/>
        </w:tabs>
        <w:spacing w:before="60"/>
        <w:ind w:left="280"/>
      </w:pPr>
      <w:r>
        <w:rPr/>
        <w:t>6.</w:t>
        <w:tab/>
        <w:t>Enforcement</w:t>
      </w:r>
      <w:r>
        <w:rPr>
          <w:spacing w:val="-58"/>
        </w:rPr>
        <w:t> </w:t>
      </w:r>
      <w:r>
        <w:rPr/>
        <w:t>...................................................................................................... D-14</w:t>
      </w:r>
    </w:p>
    <w:p>
      <w:pPr>
        <w:pStyle w:val="BodyText"/>
        <w:tabs>
          <w:tab w:pos="819" w:val="left" w:leader="none"/>
        </w:tabs>
        <w:spacing w:before="60"/>
        <w:ind w:left="827" w:right="1035" w:hanging="548"/>
      </w:pPr>
      <w:r>
        <w:rPr/>
        <w:t>7.</w:t>
        <w:tab/>
        <w:t>Additional Standard Conditions Applicable to Specific Categories of NPDES Permits</w:t>
      </w:r>
      <w:r>
        <w:rPr>
          <w:spacing w:val="-47"/>
        </w:rPr>
        <w:t> </w:t>
      </w:r>
      <w:r>
        <w:rPr/>
        <w:t>.............................................................................................................. D-15</w:t>
      </w:r>
    </w:p>
    <w:p>
      <w:pPr>
        <w:pStyle w:val="BodyText"/>
        <w:spacing w:before="60"/>
        <w:ind w:left="524"/>
      </w:pPr>
      <w:r>
        <w:rPr/>
        <w:t>7.1. Stormwater Discharges ..................................................................................</w:t>
      </w:r>
      <w:r>
        <w:rPr>
          <w:spacing w:val="-25"/>
        </w:rPr>
        <w:t> </w:t>
      </w:r>
      <w:r>
        <w:rPr/>
        <w:t>D-15</w:t>
      </w:r>
    </w:p>
    <w:p>
      <w:pPr>
        <w:spacing w:after="0"/>
        <w:sectPr>
          <w:headerReference w:type="default" r:id="rId28"/>
          <w:footerReference w:type="default" r:id="rId29"/>
          <w:pgSz w:w="12240" w:h="15840"/>
          <w:pgMar w:header="728" w:footer="788" w:top="1540" w:bottom="980" w:left="1160" w:right="420"/>
        </w:sectPr>
      </w:pPr>
    </w:p>
    <w:p>
      <w:pPr>
        <w:pStyle w:val="BodyText"/>
        <w:spacing w:before="11"/>
        <w:rPr>
          <w:sz w:val="15"/>
        </w:rPr>
      </w:pPr>
    </w:p>
    <w:p>
      <w:pPr>
        <w:pStyle w:val="Heading1"/>
        <w:numPr>
          <w:ilvl w:val="0"/>
          <w:numId w:val="15"/>
        </w:numPr>
        <w:tabs>
          <w:tab w:pos="640" w:val="left" w:leader="none"/>
        </w:tabs>
        <w:spacing w:line="240" w:lineRule="auto" w:before="92" w:after="0"/>
        <w:ind w:left="640" w:right="0" w:hanging="360"/>
        <w:jc w:val="left"/>
      </w:pPr>
      <w:r>
        <w:rPr/>
        <w:t>PERMIT</w:t>
      </w:r>
      <w:r>
        <w:rPr>
          <w:spacing w:val="-1"/>
        </w:rPr>
        <w:t> </w:t>
      </w:r>
      <w:r>
        <w:rPr/>
        <w:t>COMPLIANCE.</w:t>
      </w:r>
    </w:p>
    <w:p>
      <w:pPr>
        <w:pStyle w:val="BodyText"/>
        <w:spacing w:before="10"/>
        <w:rPr>
          <w:b/>
          <w:sz w:val="20"/>
        </w:rPr>
      </w:pPr>
    </w:p>
    <w:p>
      <w:pPr>
        <w:pStyle w:val="ListParagraph"/>
        <w:numPr>
          <w:ilvl w:val="1"/>
          <w:numId w:val="15"/>
        </w:numPr>
        <w:tabs>
          <w:tab w:pos="871" w:val="left" w:leader="none"/>
        </w:tabs>
        <w:spacing w:line="240" w:lineRule="auto" w:before="0" w:after="0"/>
        <w:ind w:left="870" w:right="0" w:hanging="591"/>
        <w:jc w:val="left"/>
        <w:rPr>
          <w:b/>
          <w:sz w:val="24"/>
        </w:rPr>
      </w:pPr>
      <w:r>
        <w:rPr>
          <w:b/>
          <w:sz w:val="24"/>
        </w:rPr>
        <w:t>Duty to</w:t>
      </w:r>
      <w:r>
        <w:rPr>
          <w:b/>
          <w:spacing w:val="-1"/>
          <w:sz w:val="24"/>
        </w:rPr>
        <w:t> </w:t>
      </w:r>
      <w:r>
        <w:rPr>
          <w:b/>
          <w:sz w:val="24"/>
        </w:rPr>
        <w:t>Comply.</w:t>
      </w:r>
    </w:p>
    <w:p>
      <w:pPr>
        <w:pStyle w:val="BodyText"/>
        <w:spacing w:before="10"/>
        <w:rPr>
          <w:b/>
          <w:sz w:val="20"/>
        </w:rPr>
      </w:pPr>
    </w:p>
    <w:p>
      <w:pPr>
        <w:pStyle w:val="ListParagraph"/>
        <w:numPr>
          <w:ilvl w:val="2"/>
          <w:numId w:val="15"/>
        </w:numPr>
        <w:tabs>
          <w:tab w:pos="1100" w:val="left" w:leader="none"/>
          <w:tab w:pos="1101" w:val="left" w:leader="none"/>
        </w:tabs>
        <w:spacing w:line="240" w:lineRule="auto" w:before="0" w:after="0"/>
        <w:ind w:left="1100" w:right="1155" w:hanging="821"/>
        <w:jc w:val="left"/>
        <w:rPr>
          <w:sz w:val="24"/>
        </w:rPr>
      </w:pPr>
      <w:r>
        <w:rPr>
          <w:sz w:val="24"/>
        </w:rPr>
        <w:t>The Discharger must comply with all of the terms, requirements, and</w:t>
      </w:r>
      <w:r>
        <w:rPr>
          <w:spacing w:val="-46"/>
          <w:sz w:val="24"/>
        </w:rPr>
        <w:t> </w:t>
      </w:r>
      <w:r>
        <w:rPr>
          <w:sz w:val="24"/>
        </w:rPr>
        <w:t>conditions of this Order. Any noncompliance constitutes a violation of the Clean Water Act (CWA) and the California Water Code (CWC) and is grounds for enforcement action; permit termination, revocation and reissuance, or modification; denial of a permit renewal application; or a combination thereof. (40 CFR § 122.41(a); CWC §§ 13261, 13263, 13265, 13268, 13000, 13001, 13304, 13350,</w:t>
      </w:r>
      <w:r>
        <w:rPr>
          <w:spacing w:val="-32"/>
          <w:sz w:val="24"/>
        </w:rPr>
        <w:t> </w:t>
      </w:r>
      <w:r>
        <w:rPr>
          <w:sz w:val="24"/>
        </w:rPr>
        <w:t>13385)</w:t>
      </w:r>
    </w:p>
    <w:p>
      <w:pPr>
        <w:pStyle w:val="BodyText"/>
        <w:spacing w:before="10"/>
        <w:rPr>
          <w:sz w:val="20"/>
        </w:rPr>
      </w:pPr>
    </w:p>
    <w:p>
      <w:pPr>
        <w:pStyle w:val="ListParagraph"/>
        <w:numPr>
          <w:ilvl w:val="2"/>
          <w:numId w:val="15"/>
        </w:numPr>
        <w:tabs>
          <w:tab w:pos="1100" w:val="left" w:leader="none"/>
          <w:tab w:pos="1101" w:val="left" w:leader="none"/>
        </w:tabs>
        <w:spacing w:line="240" w:lineRule="auto" w:before="0" w:after="0"/>
        <w:ind w:left="1100" w:right="1207" w:hanging="821"/>
        <w:jc w:val="left"/>
        <w:rPr>
          <w:sz w:val="24"/>
        </w:rPr>
      </w:pPr>
      <w:r>
        <w:rPr>
          <w:sz w:val="24"/>
        </w:rPr>
        <w:t>The Discharger shall comply with effluent standards or prohibitions established under section 307(a) of the CWA for toxic pollutants and with standards for sewage sludge use or disposal established under section 405(d) of the CWA within the time provided in the regulations that establish these standards or prohibitions, even if this Order has not yet been modified to incorporate the requirement. (40 CFR §</w:t>
      </w:r>
      <w:r>
        <w:rPr>
          <w:spacing w:val="-2"/>
          <w:sz w:val="24"/>
        </w:rPr>
        <w:t> </w:t>
      </w:r>
      <w:r>
        <w:rPr>
          <w:sz w:val="24"/>
        </w:rPr>
        <w:t>122.41(a)(1))</w:t>
      </w:r>
    </w:p>
    <w:p>
      <w:pPr>
        <w:pStyle w:val="BodyText"/>
        <w:spacing w:before="10"/>
        <w:rPr>
          <w:sz w:val="20"/>
        </w:rPr>
      </w:pPr>
    </w:p>
    <w:p>
      <w:pPr>
        <w:pStyle w:val="Heading1"/>
        <w:numPr>
          <w:ilvl w:val="1"/>
          <w:numId w:val="15"/>
        </w:numPr>
        <w:tabs>
          <w:tab w:pos="871" w:val="left" w:leader="none"/>
        </w:tabs>
        <w:spacing w:line="240" w:lineRule="auto" w:before="1" w:after="0"/>
        <w:ind w:left="870" w:right="0" w:hanging="592"/>
        <w:jc w:val="left"/>
      </w:pPr>
      <w:r>
        <w:rPr/>
        <w:t>Need to Halt or Reduce Activity Not a</w:t>
      </w:r>
      <w:r>
        <w:rPr>
          <w:spacing w:val="-4"/>
        </w:rPr>
        <w:t> </w:t>
      </w:r>
      <w:r>
        <w:rPr/>
        <w:t>Defense.</w:t>
      </w:r>
    </w:p>
    <w:p>
      <w:pPr>
        <w:pStyle w:val="BodyText"/>
        <w:spacing w:before="11"/>
        <w:rPr>
          <w:b/>
          <w:sz w:val="23"/>
        </w:rPr>
      </w:pPr>
    </w:p>
    <w:p>
      <w:pPr>
        <w:pStyle w:val="BodyText"/>
        <w:ind w:left="870" w:right="1298"/>
      </w:pPr>
      <w:r>
        <w:rPr/>
        <w:t>It shall not be a defense for a Discharger in an enforcement action that it would have been necessary to halt or reduce the permitted activity in order to maintain compliance with the conditions of this Order. (40 CFR § 122.41(c))</w:t>
      </w:r>
    </w:p>
    <w:p>
      <w:pPr>
        <w:pStyle w:val="BodyText"/>
        <w:spacing w:before="10"/>
        <w:rPr>
          <w:sz w:val="20"/>
        </w:rPr>
      </w:pPr>
    </w:p>
    <w:p>
      <w:pPr>
        <w:pStyle w:val="Heading1"/>
        <w:numPr>
          <w:ilvl w:val="1"/>
          <w:numId w:val="15"/>
        </w:numPr>
        <w:tabs>
          <w:tab w:pos="871" w:val="left" w:leader="none"/>
        </w:tabs>
        <w:spacing w:line="240" w:lineRule="auto" w:before="0" w:after="0"/>
        <w:ind w:left="870" w:right="0" w:hanging="591"/>
        <w:jc w:val="left"/>
      </w:pPr>
      <w:r>
        <w:rPr/>
        <w:t>Duty to</w:t>
      </w:r>
      <w:r>
        <w:rPr>
          <w:spacing w:val="-1"/>
        </w:rPr>
        <w:t> </w:t>
      </w:r>
      <w:r>
        <w:rPr/>
        <w:t>Mitigate.</w:t>
      </w:r>
    </w:p>
    <w:p>
      <w:pPr>
        <w:pStyle w:val="BodyText"/>
        <w:spacing w:before="10"/>
        <w:rPr>
          <w:b/>
          <w:sz w:val="23"/>
        </w:rPr>
      </w:pPr>
    </w:p>
    <w:p>
      <w:pPr>
        <w:pStyle w:val="BodyText"/>
        <w:spacing w:before="1"/>
        <w:ind w:left="870" w:right="1031"/>
      </w:pPr>
      <w:r>
        <w:rPr/>
        <w:t>The Discharger shall take all reasonable steps to minimize or prevent any discharge or sludge use or disposal in violation of this Order that has a reasonable likelihood of adversely affecting human health or the environment. (40 CFR § 122.41(d))</w:t>
      </w:r>
    </w:p>
    <w:p>
      <w:pPr>
        <w:pStyle w:val="BodyText"/>
        <w:spacing w:before="10"/>
        <w:rPr>
          <w:sz w:val="20"/>
        </w:rPr>
      </w:pPr>
    </w:p>
    <w:p>
      <w:pPr>
        <w:pStyle w:val="Heading1"/>
        <w:numPr>
          <w:ilvl w:val="1"/>
          <w:numId w:val="15"/>
        </w:numPr>
        <w:tabs>
          <w:tab w:pos="871" w:val="left" w:leader="none"/>
        </w:tabs>
        <w:spacing w:line="240" w:lineRule="auto" w:before="0" w:after="0"/>
        <w:ind w:left="870" w:right="0" w:hanging="591"/>
        <w:jc w:val="left"/>
      </w:pPr>
      <w:r>
        <w:rPr/>
        <w:t>Proper Operation and</w:t>
      </w:r>
      <w:r>
        <w:rPr>
          <w:spacing w:val="-1"/>
        </w:rPr>
        <w:t> </w:t>
      </w:r>
      <w:r>
        <w:rPr/>
        <w:t>Maintenance.</w:t>
      </w:r>
    </w:p>
    <w:p>
      <w:pPr>
        <w:pStyle w:val="BodyText"/>
        <w:rPr>
          <w:b/>
        </w:rPr>
      </w:pPr>
    </w:p>
    <w:p>
      <w:pPr>
        <w:pStyle w:val="BodyText"/>
        <w:ind w:left="870" w:right="1044"/>
      </w:pPr>
      <w:r>
        <w:rPr/>
        <w:t>The Discharger shall at all times properly operate and maintain all facilities and systems of treatment and control (and related appurtenances) which are installed or used by the Discharger to achieve compliance with the conditions of this Order. Proper operation and maintenance also includes adequate laboratory controls and appropriate quality assurance procedures. This provision requires the operation of backup or auxiliary facilities or similar systems that are installed by a Discharger only when necessary to achieve compliance with the conditions of this Order. (40 CFR § 122.41(e))</w:t>
      </w:r>
    </w:p>
    <w:p>
      <w:pPr>
        <w:pStyle w:val="BodyText"/>
        <w:spacing w:before="10"/>
        <w:rPr>
          <w:sz w:val="20"/>
        </w:rPr>
      </w:pPr>
    </w:p>
    <w:p>
      <w:pPr>
        <w:pStyle w:val="Heading1"/>
        <w:numPr>
          <w:ilvl w:val="1"/>
          <w:numId w:val="15"/>
        </w:numPr>
        <w:tabs>
          <w:tab w:pos="871" w:val="left" w:leader="none"/>
        </w:tabs>
        <w:spacing w:line="240" w:lineRule="auto" w:before="0" w:after="0"/>
        <w:ind w:left="870" w:right="0" w:hanging="591"/>
        <w:jc w:val="left"/>
      </w:pPr>
      <w:r>
        <w:rPr/>
        <w:t>Property</w:t>
      </w:r>
      <w:r>
        <w:rPr>
          <w:spacing w:val="-1"/>
        </w:rPr>
        <w:t> </w:t>
      </w:r>
      <w:r>
        <w:rPr/>
        <w:t>Rights.</w:t>
      </w:r>
    </w:p>
    <w:p>
      <w:pPr>
        <w:pStyle w:val="BodyText"/>
        <w:spacing w:before="10"/>
        <w:rPr>
          <w:b/>
          <w:sz w:val="20"/>
        </w:rPr>
      </w:pPr>
    </w:p>
    <w:p>
      <w:pPr>
        <w:pStyle w:val="ListParagraph"/>
        <w:numPr>
          <w:ilvl w:val="2"/>
          <w:numId w:val="15"/>
        </w:numPr>
        <w:tabs>
          <w:tab w:pos="1100" w:val="left" w:leader="none"/>
          <w:tab w:pos="1101" w:val="left" w:leader="none"/>
        </w:tabs>
        <w:spacing w:line="240" w:lineRule="auto" w:before="0" w:after="0"/>
        <w:ind w:left="1100" w:right="1579" w:hanging="821"/>
        <w:jc w:val="left"/>
        <w:rPr>
          <w:sz w:val="24"/>
        </w:rPr>
      </w:pPr>
      <w:r>
        <w:rPr>
          <w:sz w:val="24"/>
        </w:rPr>
        <w:t>This Order does not convey any property rights of any sort or any exclusive privileges. (40 CFR §</w:t>
      </w:r>
      <w:r>
        <w:rPr>
          <w:spacing w:val="-2"/>
          <w:sz w:val="24"/>
        </w:rPr>
        <w:t> </w:t>
      </w:r>
      <w:r>
        <w:rPr>
          <w:sz w:val="24"/>
        </w:rPr>
        <w:t>122.41(g))</w:t>
      </w:r>
    </w:p>
    <w:p>
      <w:pPr>
        <w:spacing w:after="0" w:line="240" w:lineRule="auto"/>
        <w:jc w:val="left"/>
        <w:rPr>
          <w:sz w:val="24"/>
        </w:rPr>
        <w:sectPr>
          <w:headerReference w:type="default" r:id="rId30"/>
          <w:footerReference w:type="default" r:id="rId31"/>
          <w:pgSz w:w="12240" w:h="15840"/>
          <w:pgMar w:header="728" w:footer="788" w:top="1540" w:bottom="980" w:left="1160" w:right="420"/>
        </w:sectPr>
      </w:pPr>
    </w:p>
    <w:p>
      <w:pPr>
        <w:pStyle w:val="BodyText"/>
        <w:spacing w:before="11"/>
        <w:rPr>
          <w:sz w:val="15"/>
        </w:rPr>
      </w:pPr>
    </w:p>
    <w:p>
      <w:pPr>
        <w:pStyle w:val="ListParagraph"/>
        <w:numPr>
          <w:ilvl w:val="2"/>
          <w:numId w:val="15"/>
        </w:numPr>
        <w:tabs>
          <w:tab w:pos="1100" w:val="left" w:leader="none"/>
          <w:tab w:pos="1101" w:val="left" w:leader="none"/>
        </w:tabs>
        <w:spacing w:line="240" w:lineRule="auto" w:before="92" w:after="0"/>
        <w:ind w:left="1100" w:right="1191" w:hanging="821"/>
        <w:jc w:val="left"/>
        <w:rPr>
          <w:sz w:val="24"/>
        </w:rPr>
      </w:pPr>
      <w:r>
        <w:rPr>
          <w:sz w:val="24"/>
        </w:rPr>
        <w:t>The issuance of this Order does not authorize any injury to persons or property or invasion of other private rights, or any infringement of state or local law or regulations. (40 CFR §</w:t>
      </w:r>
      <w:r>
        <w:rPr>
          <w:spacing w:val="-2"/>
          <w:sz w:val="24"/>
        </w:rPr>
        <w:t> </w:t>
      </w:r>
      <w:r>
        <w:rPr>
          <w:sz w:val="24"/>
        </w:rPr>
        <w:t>122.5(c))</w:t>
      </w:r>
    </w:p>
    <w:p>
      <w:pPr>
        <w:pStyle w:val="BodyText"/>
        <w:spacing w:before="10"/>
        <w:rPr>
          <w:sz w:val="20"/>
        </w:rPr>
      </w:pPr>
    </w:p>
    <w:p>
      <w:pPr>
        <w:pStyle w:val="Heading1"/>
        <w:numPr>
          <w:ilvl w:val="1"/>
          <w:numId w:val="15"/>
        </w:numPr>
        <w:tabs>
          <w:tab w:pos="871" w:val="left" w:leader="none"/>
        </w:tabs>
        <w:spacing w:line="240" w:lineRule="auto" w:before="0" w:after="0"/>
        <w:ind w:left="870" w:right="0" w:hanging="592"/>
        <w:jc w:val="left"/>
      </w:pPr>
      <w:r>
        <w:rPr/>
        <w:t>Inspection and</w:t>
      </w:r>
      <w:r>
        <w:rPr>
          <w:spacing w:val="-1"/>
        </w:rPr>
        <w:t> </w:t>
      </w:r>
      <w:r>
        <w:rPr/>
        <w:t>Entry.</w:t>
      </w:r>
    </w:p>
    <w:p>
      <w:pPr>
        <w:pStyle w:val="BodyText"/>
        <w:rPr>
          <w:b/>
        </w:rPr>
      </w:pPr>
    </w:p>
    <w:p>
      <w:pPr>
        <w:pStyle w:val="BodyText"/>
        <w:ind w:left="870" w:right="1058"/>
      </w:pPr>
      <w:r>
        <w:rPr/>
        <w:t>The Discharger shall allow the Los Angeles Water Board, State Water Board, USEPA, and/or their authorized representatives (including an authorized contractor acting as their representative), upon the presentation of credentials and other documents, as may be required by law, to (33 USC § 1318(a)(4)(B); 40 CFR</w:t>
      </w:r>
    </w:p>
    <w:p>
      <w:pPr>
        <w:pStyle w:val="BodyText"/>
        <w:ind w:left="870"/>
      </w:pPr>
      <w:r>
        <w:rPr/>
        <w:t>§ 122.41(i); CWC §§ 13267, 13383):</w:t>
      </w:r>
    </w:p>
    <w:p>
      <w:pPr>
        <w:pStyle w:val="BodyText"/>
        <w:spacing w:before="10"/>
        <w:rPr>
          <w:sz w:val="20"/>
        </w:rPr>
      </w:pPr>
    </w:p>
    <w:p>
      <w:pPr>
        <w:pStyle w:val="ListParagraph"/>
        <w:numPr>
          <w:ilvl w:val="2"/>
          <w:numId w:val="15"/>
        </w:numPr>
        <w:tabs>
          <w:tab w:pos="1100" w:val="left" w:leader="none"/>
          <w:tab w:pos="1101" w:val="left" w:leader="none"/>
        </w:tabs>
        <w:spacing w:line="240" w:lineRule="auto" w:before="1" w:after="0"/>
        <w:ind w:left="1100" w:right="1509" w:hanging="821"/>
        <w:jc w:val="left"/>
        <w:rPr>
          <w:sz w:val="24"/>
        </w:rPr>
      </w:pPr>
      <w:r>
        <w:rPr>
          <w:sz w:val="24"/>
        </w:rPr>
        <w:t>Enter</w:t>
      </w:r>
      <w:r>
        <w:rPr>
          <w:spacing w:val="-5"/>
          <w:sz w:val="24"/>
        </w:rPr>
        <w:t> </w:t>
      </w:r>
      <w:r>
        <w:rPr>
          <w:sz w:val="24"/>
        </w:rPr>
        <w:t>upon</w:t>
      </w:r>
      <w:r>
        <w:rPr>
          <w:spacing w:val="-5"/>
          <w:sz w:val="24"/>
        </w:rPr>
        <w:t> </w:t>
      </w:r>
      <w:r>
        <w:rPr>
          <w:sz w:val="24"/>
        </w:rPr>
        <w:t>the</w:t>
      </w:r>
      <w:r>
        <w:rPr>
          <w:spacing w:val="-4"/>
          <w:sz w:val="24"/>
        </w:rPr>
        <w:t> </w:t>
      </w:r>
      <w:r>
        <w:rPr>
          <w:sz w:val="24"/>
        </w:rPr>
        <w:t>Discharger's</w:t>
      </w:r>
      <w:r>
        <w:rPr>
          <w:spacing w:val="-5"/>
          <w:sz w:val="24"/>
        </w:rPr>
        <w:t> </w:t>
      </w:r>
      <w:r>
        <w:rPr>
          <w:sz w:val="24"/>
        </w:rPr>
        <w:t>premises</w:t>
      </w:r>
      <w:r>
        <w:rPr>
          <w:spacing w:val="-5"/>
          <w:sz w:val="24"/>
        </w:rPr>
        <w:t> </w:t>
      </w:r>
      <w:r>
        <w:rPr>
          <w:sz w:val="24"/>
        </w:rPr>
        <w:t>where</w:t>
      </w:r>
      <w:r>
        <w:rPr>
          <w:spacing w:val="-4"/>
          <w:sz w:val="24"/>
        </w:rPr>
        <w:t> </w:t>
      </w:r>
      <w:r>
        <w:rPr>
          <w:sz w:val="24"/>
        </w:rPr>
        <w:t>a</w:t>
      </w:r>
      <w:r>
        <w:rPr>
          <w:spacing w:val="-5"/>
          <w:sz w:val="24"/>
        </w:rPr>
        <w:t> </w:t>
      </w:r>
      <w:r>
        <w:rPr>
          <w:sz w:val="24"/>
        </w:rPr>
        <w:t>regulated</w:t>
      </w:r>
      <w:r>
        <w:rPr>
          <w:spacing w:val="-4"/>
          <w:sz w:val="24"/>
        </w:rPr>
        <w:t> </w:t>
      </w:r>
      <w:r>
        <w:rPr>
          <w:sz w:val="24"/>
        </w:rPr>
        <w:t>facility</w:t>
      </w:r>
      <w:r>
        <w:rPr>
          <w:spacing w:val="-4"/>
          <w:sz w:val="24"/>
        </w:rPr>
        <w:t> </w:t>
      </w:r>
      <w:r>
        <w:rPr>
          <w:sz w:val="24"/>
        </w:rPr>
        <w:t>or</w:t>
      </w:r>
      <w:r>
        <w:rPr>
          <w:spacing w:val="-5"/>
          <w:sz w:val="24"/>
        </w:rPr>
        <w:t> </w:t>
      </w:r>
      <w:r>
        <w:rPr>
          <w:sz w:val="24"/>
        </w:rPr>
        <w:t>activity</w:t>
      </w:r>
      <w:r>
        <w:rPr>
          <w:spacing w:val="-5"/>
          <w:sz w:val="24"/>
        </w:rPr>
        <w:t> </w:t>
      </w:r>
      <w:r>
        <w:rPr>
          <w:sz w:val="24"/>
        </w:rPr>
        <w:t>is located or conducted, or where records are kept under the conditions of this Order (33 USC § 1318(a)(4)(B)(i); 40 CFR § 122.41(i)(1); CWC §§ 13267, 13383);</w:t>
      </w:r>
    </w:p>
    <w:p>
      <w:pPr>
        <w:pStyle w:val="BodyText"/>
        <w:spacing w:before="9"/>
        <w:rPr>
          <w:sz w:val="20"/>
        </w:rPr>
      </w:pPr>
    </w:p>
    <w:p>
      <w:pPr>
        <w:pStyle w:val="ListParagraph"/>
        <w:numPr>
          <w:ilvl w:val="2"/>
          <w:numId w:val="15"/>
        </w:numPr>
        <w:tabs>
          <w:tab w:pos="1100" w:val="left" w:leader="none"/>
          <w:tab w:pos="1101" w:val="left" w:leader="none"/>
        </w:tabs>
        <w:spacing w:line="240" w:lineRule="auto" w:before="1" w:after="0"/>
        <w:ind w:left="1100" w:right="1352" w:hanging="821"/>
        <w:jc w:val="left"/>
        <w:rPr>
          <w:sz w:val="24"/>
        </w:rPr>
      </w:pPr>
      <w:r>
        <w:rPr>
          <w:sz w:val="24"/>
        </w:rPr>
        <w:t>Have access to and copy, at reasonable times, any records that must be kept under the conditions of this Order (33 USC § 1318(a)(4)(B)(ii); 40 CFR § 122.41(i)(2); CWC §§ 13267,</w:t>
      </w:r>
      <w:r>
        <w:rPr>
          <w:spacing w:val="-2"/>
          <w:sz w:val="24"/>
        </w:rPr>
        <w:t> </w:t>
      </w:r>
      <w:r>
        <w:rPr>
          <w:sz w:val="24"/>
        </w:rPr>
        <w:t>13383);</w:t>
      </w:r>
    </w:p>
    <w:p>
      <w:pPr>
        <w:pStyle w:val="BodyText"/>
        <w:spacing w:before="10"/>
        <w:rPr>
          <w:sz w:val="20"/>
        </w:rPr>
      </w:pPr>
    </w:p>
    <w:p>
      <w:pPr>
        <w:pStyle w:val="ListParagraph"/>
        <w:numPr>
          <w:ilvl w:val="2"/>
          <w:numId w:val="15"/>
        </w:numPr>
        <w:tabs>
          <w:tab w:pos="1100" w:val="left" w:leader="none"/>
          <w:tab w:pos="1101" w:val="left" w:leader="none"/>
        </w:tabs>
        <w:spacing w:line="240" w:lineRule="auto" w:before="0" w:after="0"/>
        <w:ind w:left="1100" w:right="1016" w:hanging="821"/>
        <w:jc w:val="left"/>
        <w:rPr>
          <w:sz w:val="24"/>
        </w:rPr>
      </w:pPr>
      <w:r>
        <w:rPr>
          <w:sz w:val="24"/>
        </w:rPr>
        <w:t>Inspect and photograph, at reasonable times, any facilities, equipment (including monitoring and control equipment), practices, or operations regulated or required under this Order (33 USC § 1318(a)(4)(B)(ii); 40 CFR § 122.41(i)(3); CWC §§ 13267, 13383);</w:t>
      </w:r>
      <w:r>
        <w:rPr>
          <w:spacing w:val="-1"/>
          <w:sz w:val="24"/>
        </w:rPr>
        <w:t> </w:t>
      </w:r>
      <w:r>
        <w:rPr>
          <w:sz w:val="24"/>
        </w:rPr>
        <w:t>and</w:t>
      </w:r>
    </w:p>
    <w:p>
      <w:pPr>
        <w:pStyle w:val="BodyText"/>
        <w:spacing w:before="8"/>
        <w:rPr>
          <w:sz w:val="20"/>
        </w:rPr>
      </w:pPr>
    </w:p>
    <w:p>
      <w:pPr>
        <w:pStyle w:val="ListParagraph"/>
        <w:numPr>
          <w:ilvl w:val="2"/>
          <w:numId w:val="15"/>
        </w:numPr>
        <w:tabs>
          <w:tab w:pos="1100" w:val="left" w:leader="none"/>
          <w:tab w:pos="1102" w:val="left" w:leader="none"/>
        </w:tabs>
        <w:spacing w:line="240" w:lineRule="auto" w:before="1" w:after="0"/>
        <w:ind w:left="1100" w:right="1247" w:hanging="821"/>
        <w:jc w:val="left"/>
        <w:rPr>
          <w:sz w:val="24"/>
        </w:rPr>
      </w:pPr>
      <w:r>
        <w:rPr>
          <w:sz w:val="24"/>
        </w:rPr>
        <w:t>Sample or monitor, at reasonable times, for the purposes of assuring Order compliance or as otherwise authorized by the CWA or the CWC, any substances or parameters at any location. (33 USC § 1318(a)(4)(B); 40 CFR § 122.41(i)(4); CWC §§ 13267,</w:t>
      </w:r>
      <w:r>
        <w:rPr>
          <w:spacing w:val="-5"/>
          <w:sz w:val="24"/>
        </w:rPr>
        <w:t> </w:t>
      </w:r>
      <w:r>
        <w:rPr>
          <w:sz w:val="24"/>
        </w:rPr>
        <w:t>13383)</w:t>
      </w:r>
    </w:p>
    <w:p>
      <w:pPr>
        <w:pStyle w:val="BodyText"/>
        <w:spacing w:before="10"/>
        <w:rPr>
          <w:sz w:val="20"/>
        </w:rPr>
      </w:pPr>
    </w:p>
    <w:p>
      <w:pPr>
        <w:pStyle w:val="Heading1"/>
        <w:numPr>
          <w:ilvl w:val="1"/>
          <w:numId w:val="15"/>
        </w:numPr>
        <w:tabs>
          <w:tab w:pos="871" w:val="left" w:leader="none"/>
        </w:tabs>
        <w:spacing w:line="240" w:lineRule="auto" w:before="0" w:after="0"/>
        <w:ind w:left="870" w:right="0" w:hanging="592"/>
        <w:jc w:val="left"/>
      </w:pPr>
      <w:r>
        <w:rPr/>
        <w:t>Bypass.</w:t>
      </w:r>
    </w:p>
    <w:p>
      <w:pPr>
        <w:pStyle w:val="BodyText"/>
        <w:rPr>
          <w:b/>
        </w:rPr>
      </w:pPr>
    </w:p>
    <w:p>
      <w:pPr>
        <w:pStyle w:val="BodyText"/>
        <w:ind w:left="870" w:right="1178"/>
      </w:pPr>
      <w:r>
        <w:rPr/>
        <w:t>The Los Angeles Water Board may approve an anticipated bypass, after considering its adverse effects, if the Los Angeles Water Board determines that it will meet the three conditions listed in Standard Provisions – Permit Compliance section 1.7.3 below. (40 CFR § 122.41(m)(4)(ii))</w:t>
      </w:r>
    </w:p>
    <w:p>
      <w:pPr>
        <w:pStyle w:val="BodyText"/>
        <w:spacing w:before="10"/>
        <w:rPr>
          <w:sz w:val="20"/>
        </w:rPr>
      </w:pPr>
    </w:p>
    <w:p>
      <w:pPr>
        <w:pStyle w:val="Heading1"/>
        <w:numPr>
          <w:ilvl w:val="2"/>
          <w:numId w:val="15"/>
        </w:numPr>
        <w:tabs>
          <w:tab w:pos="1100" w:val="left" w:leader="none"/>
          <w:tab w:pos="1101" w:val="left" w:leader="none"/>
        </w:tabs>
        <w:spacing w:line="240" w:lineRule="auto" w:before="0" w:after="0"/>
        <w:ind w:left="1100" w:right="0" w:hanging="822"/>
        <w:jc w:val="left"/>
      </w:pPr>
      <w:r>
        <w:rPr/>
        <w:t>Definitions.</w:t>
      </w:r>
    </w:p>
    <w:p>
      <w:pPr>
        <w:pStyle w:val="BodyText"/>
        <w:spacing w:before="10"/>
        <w:rPr>
          <w:b/>
          <w:sz w:val="20"/>
        </w:rPr>
      </w:pPr>
    </w:p>
    <w:p>
      <w:pPr>
        <w:pStyle w:val="ListParagraph"/>
        <w:numPr>
          <w:ilvl w:val="3"/>
          <w:numId w:val="15"/>
        </w:numPr>
        <w:tabs>
          <w:tab w:pos="1359" w:val="left" w:leader="none"/>
          <w:tab w:pos="1360" w:val="left" w:leader="none"/>
        </w:tabs>
        <w:spacing w:line="240" w:lineRule="auto" w:before="0" w:after="0"/>
        <w:ind w:left="1359" w:right="1028" w:hanging="1080"/>
        <w:jc w:val="left"/>
        <w:rPr>
          <w:sz w:val="24"/>
        </w:rPr>
      </w:pPr>
      <w:r>
        <w:rPr>
          <w:sz w:val="24"/>
        </w:rPr>
        <w:t>“Bypass” means the intentional diversion of waste streams from any portion of a treatment facility. (40 CFR §</w:t>
      </w:r>
      <w:r>
        <w:rPr>
          <w:spacing w:val="-1"/>
          <w:sz w:val="24"/>
        </w:rPr>
        <w:t> </w:t>
      </w:r>
      <w:r>
        <w:rPr>
          <w:sz w:val="24"/>
        </w:rPr>
        <w:t>122.41(m)(1)(i))</w:t>
      </w:r>
    </w:p>
    <w:p>
      <w:pPr>
        <w:pStyle w:val="BodyText"/>
        <w:spacing w:before="10"/>
        <w:rPr>
          <w:sz w:val="20"/>
        </w:rPr>
      </w:pPr>
    </w:p>
    <w:p>
      <w:pPr>
        <w:pStyle w:val="ListParagraph"/>
        <w:numPr>
          <w:ilvl w:val="3"/>
          <w:numId w:val="15"/>
        </w:numPr>
        <w:tabs>
          <w:tab w:pos="1359" w:val="left" w:leader="none"/>
          <w:tab w:pos="1360" w:val="left" w:leader="none"/>
        </w:tabs>
        <w:spacing w:line="240" w:lineRule="auto" w:before="0" w:after="0"/>
        <w:ind w:left="1360" w:right="1145" w:hanging="1080"/>
        <w:jc w:val="left"/>
        <w:rPr>
          <w:sz w:val="24"/>
        </w:rPr>
      </w:pPr>
      <w:r>
        <w:rPr>
          <w:sz w:val="24"/>
        </w:rPr>
        <w:t>“Severe property damage” means substantial physical damage to property, damage to the treatment facilities, which causes them to become inoperable, or substantial and permanent loss of natural resources that can</w:t>
      </w:r>
      <w:r>
        <w:rPr>
          <w:spacing w:val="-37"/>
          <w:sz w:val="24"/>
        </w:rPr>
        <w:t> </w:t>
      </w:r>
      <w:r>
        <w:rPr>
          <w:sz w:val="24"/>
        </w:rPr>
        <w:t>reasonably</w:t>
      </w:r>
    </w:p>
    <w:p>
      <w:pPr>
        <w:spacing w:after="0" w:line="240" w:lineRule="auto"/>
        <w:jc w:val="left"/>
        <w:rPr>
          <w:sz w:val="24"/>
        </w:rPr>
        <w:sectPr>
          <w:headerReference w:type="default" r:id="rId32"/>
          <w:footerReference w:type="default" r:id="rId33"/>
          <w:pgSz w:w="12240" w:h="15840"/>
          <w:pgMar w:header="728" w:footer="788" w:top="1540" w:bottom="980" w:left="1160" w:right="420"/>
        </w:sectPr>
      </w:pPr>
    </w:p>
    <w:p>
      <w:pPr>
        <w:pStyle w:val="BodyText"/>
        <w:spacing w:before="11"/>
        <w:rPr>
          <w:sz w:val="15"/>
        </w:rPr>
      </w:pPr>
    </w:p>
    <w:p>
      <w:pPr>
        <w:pStyle w:val="BodyText"/>
        <w:spacing w:before="92"/>
        <w:ind w:left="1360" w:right="1035"/>
      </w:pPr>
      <w:r>
        <w:rPr/>
        <w:t>be expected to occur in the absence of a bypass. Severe property damage does not mean economic loss caused by delays in production. (40 CFR § 122.41(m)(1)(ii))</w:t>
      </w:r>
    </w:p>
    <w:p>
      <w:pPr>
        <w:pStyle w:val="BodyText"/>
        <w:spacing w:before="10"/>
        <w:rPr>
          <w:sz w:val="20"/>
        </w:rPr>
      </w:pPr>
    </w:p>
    <w:p>
      <w:pPr>
        <w:pStyle w:val="Heading1"/>
        <w:numPr>
          <w:ilvl w:val="2"/>
          <w:numId w:val="15"/>
        </w:numPr>
        <w:tabs>
          <w:tab w:pos="1100" w:val="left" w:leader="none"/>
          <w:tab w:pos="1101" w:val="left" w:leader="none"/>
        </w:tabs>
        <w:spacing w:line="240" w:lineRule="auto" w:before="0" w:after="0"/>
        <w:ind w:left="1100" w:right="0" w:hanging="821"/>
        <w:jc w:val="left"/>
      </w:pPr>
      <w:r>
        <w:rPr/>
        <w:t>Bypass not exceeding</w:t>
      </w:r>
      <w:r>
        <w:rPr>
          <w:spacing w:val="-1"/>
        </w:rPr>
        <w:t> </w:t>
      </w:r>
      <w:r>
        <w:rPr/>
        <w:t>limitations.</w:t>
      </w:r>
    </w:p>
    <w:p>
      <w:pPr>
        <w:pStyle w:val="BodyText"/>
        <w:rPr>
          <w:b/>
        </w:rPr>
      </w:pPr>
    </w:p>
    <w:p>
      <w:pPr>
        <w:pStyle w:val="BodyText"/>
        <w:ind w:left="1100" w:right="1215"/>
      </w:pPr>
      <w:r>
        <w:rPr/>
        <w:t>The Discharger may allow any bypass to occur which does not cause exceedances of effluent limitations, but only if it is for essential maintenance to assure efficient operation. These bypasses are not subject to the provisions listed in Standard Provisions – Permit Compliance sections 1.7.3, 1.7.4, and 1.7.5 below. (40 CFR § 122.41(m)(2))</w:t>
      </w:r>
    </w:p>
    <w:p>
      <w:pPr>
        <w:pStyle w:val="BodyText"/>
        <w:spacing w:before="10"/>
        <w:rPr>
          <w:sz w:val="20"/>
        </w:rPr>
      </w:pPr>
    </w:p>
    <w:p>
      <w:pPr>
        <w:pStyle w:val="Heading1"/>
        <w:numPr>
          <w:ilvl w:val="2"/>
          <w:numId w:val="15"/>
        </w:numPr>
        <w:tabs>
          <w:tab w:pos="1100" w:val="left" w:leader="none"/>
          <w:tab w:pos="1101" w:val="left" w:leader="none"/>
        </w:tabs>
        <w:spacing w:line="240" w:lineRule="auto" w:before="1" w:after="0"/>
        <w:ind w:left="1100" w:right="0" w:hanging="821"/>
        <w:jc w:val="left"/>
      </w:pPr>
      <w:r>
        <w:rPr/>
        <w:t>Prohibition of bypass.</w:t>
      </w:r>
    </w:p>
    <w:p>
      <w:pPr>
        <w:pStyle w:val="BodyText"/>
        <w:spacing w:before="11"/>
        <w:rPr>
          <w:b/>
          <w:sz w:val="23"/>
        </w:rPr>
      </w:pPr>
    </w:p>
    <w:p>
      <w:pPr>
        <w:pStyle w:val="BodyText"/>
        <w:ind w:left="1100" w:right="1215"/>
      </w:pPr>
      <w:r>
        <w:rPr/>
        <w:t>Bypass is prohibited, and the Los Angeles Water Board may take enforcement action against a Discharger for bypass, unless (40 CFR § 122.41(m)(4)(i)):</w:t>
      </w:r>
    </w:p>
    <w:p>
      <w:pPr>
        <w:pStyle w:val="BodyText"/>
        <w:spacing w:before="10"/>
        <w:rPr>
          <w:sz w:val="20"/>
        </w:rPr>
      </w:pPr>
    </w:p>
    <w:p>
      <w:pPr>
        <w:pStyle w:val="ListParagraph"/>
        <w:numPr>
          <w:ilvl w:val="3"/>
          <w:numId w:val="15"/>
        </w:numPr>
        <w:tabs>
          <w:tab w:pos="1358" w:val="left" w:leader="none"/>
          <w:tab w:pos="1359" w:val="left" w:leader="none"/>
        </w:tabs>
        <w:spacing w:line="240" w:lineRule="auto" w:before="0" w:after="0"/>
        <w:ind w:left="1360" w:right="1559" w:hanging="1080"/>
        <w:jc w:val="left"/>
        <w:rPr>
          <w:sz w:val="24"/>
        </w:rPr>
      </w:pPr>
      <w:r>
        <w:rPr>
          <w:sz w:val="24"/>
        </w:rPr>
        <w:t>Bypass was unavoidable to prevent loss of life, personal injury, or severe property damage (40 CFR §</w:t>
      </w:r>
      <w:r>
        <w:rPr>
          <w:spacing w:val="-4"/>
          <w:sz w:val="24"/>
        </w:rPr>
        <w:t> </w:t>
      </w:r>
      <w:r>
        <w:rPr>
          <w:sz w:val="24"/>
        </w:rPr>
        <w:t>122.41(m)(4)(i)(A));</w:t>
      </w:r>
    </w:p>
    <w:p>
      <w:pPr>
        <w:pStyle w:val="BodyText"/>
        <w:spacing w:before="10"/>
        <w:rPr>
          <w:sz w:val="20"/>
        </w:rPr>
      </w:pPr>
    </w:p>
    <w:p>
      <w:pPr>
        <w:pStyle w:val="ListParagraph"/>
        <w:numPr>
          <w:ilvl w:val="3"/>
          <w:numId w:val="15"/>
        </w:numPr>
        <w:tabs>
          <w:tab w:pos="1358" w:val="left" w:leader="none"/>
          <w:tab w:pos="1359" w:val="left" w:leader="none"/>
        </w:tabs>
        <w:spacing w:line="240" w:lineRule="auto" w:before="0" w:after="0"/>
        <w:ind w:left="1360" w:right="1043" w:hanging="1080"/>
        <w:jc w:val="left"/>
        <w:rPr>
          <w:sz w:val="24"/>
        </w:rPr>
      </w:pPr>
      <w:r>
        <w:rPr>
          <w:sz w:val="24"/>
        </w:rPr>
        <w:t>There</w:t>
      </w:r>
      <w:r>
        <w:rPr>
          <w:spacing w:val="-4"/>
          <w:sz w:val="24"/>
        </w:rPr>
        <w:t> </w:t>
      </w:r>
      <w:r>
        <w:rPr>
          <w:sz w:val="24"/>
        </w:rPr>
        <w:t>were</w:t>
      </w:r>
      <w:r>
        <w:rPr>
          <w:spacing w:val="-4"/>
          <w:sz w:val="24"/>
        </w:rPr>
        <w:t> </w:t>
      </w:r>
      <w:r>
        <w:rPr>
          <w:sz w:val="24"/>
        </w:rPr>
        <w:t>no</w:t>
      </w:r>
      <w:r>
        <w:rPr>
          <w:spacing w:val="-4"/>
          <w:sz w:val="24"/>
        </w:rPr>
        <w:t> </w:t>
      </w:r>
      <w:r>
        <w:rPr>
          <w:sz w:val="24"/>
        </w:rPr>
        <w:t>feasible</w:t>
      </w:r>
      <w:r>
        <w:rPr>
          <w:spacing w:val="-3"/>
          <w:sz w:val="24"/>
        </w:rPr>
        <w:t> </w:t>
      </w:r>
      <w:r>
        <w:rPr>
          <w:sz w:val="24"/>
        </w:rPr>
        <w:t>alternatives</w:t>
      </w:r>
      <w:r>
        <w:rPr>
          <w:spacing w:val="-4"/>
          <w:sz w:val="24"/>
        </w:rPr>
        <w:t> </w:t>
      </w:r>
      <w:r>
        <w:rPr>
          <w:sz w:val="24"/>
        </w:rPr>
        <w:t>to</w:t>
      </w:r>
      <w:r>
        <w:rPr>
          <w:spacing w:val="-4"/>
          <w:sz w:val="24"/>
        </w:rPr>
        <w:t> </w:t>
      </w:r>
      <w:r>
        <w:rPr>
          <w:sz w:val="24"/>
        </w:rPr>
        <w:t>the</w:t>
      </w:r>
      <w:r>
        <w:rPr>
          <w:spacing w:val="-3"/>
          <w:sz w:val="24"/>
        </w:rPr>
        <w:t> </w:t>
      </w:r>
      <w:r>
        <w:rPr>
          <w:sz w:val="24"/>
        </w:rPr>
        <w:t>bypass,</w:t>
      </w:r>
      <w:r>
        <w:rPr>
          <w:spacing w:val="-4"/>
          <w:sz w:val="24"/>
        </w:rPr>
        <w:t> </w:t>
      </w:r>
      <w:r>
        <w:rPr>
          <w:sz w:val="24"/>
        </w:rPr>
        <w:t>such</w:t>
      </w:r>
      <w:r>
        <w:rPr>
          <w:spacing w:val="-4"/>
          <w:sz w:val="24"/>
        </w:rPr>
        <w:t> </w:t>
      </w:r>
      <w:r>
        <w:rPr>
          <w:sz w:val="24"/>
        </w:rPr>
        <w:t>as</w:t>
      </w:r>
      <w:r>
        <w:rPr>
          <w:spacing w:val="-4"/>
          <w:sz w:val="24"/>
        </w:rPr>
        <w:t> </w:t>
      </w:r>
      <w:r>
        <w:rPr>
          <w:sz w:val="24"/>
        </w:rPr>
        <w:t>the</w:t>
      </w:r>
      <w:r>
        <w:rPr>
          <w:spacing w:val="-4"/>
          <w:sz w:val="24"/>
        </w:rPr>
        <w:t> </w:t>
      </w:r>
      <w:r>
        <w:rPr>
          <w:sz w:val="24"/>
        </w:rPr>
        <w:t>use</w:t>
      </w:r>
      <w:r>
        <w:rPr>
          <w:spacing w:val="-4"/>
          <w:sz w:val="24"/>
        </w:rPr>
        <w:t> </w:t>
      </w:r>
      <w:r>
        <w:rPr>
          <w:sz w:val="24"/>
        </w:rPr>
        <w:t>of</w:t>
      </w:r>
      <w:r>
        <w:rPr>
          <w:spacing w:val="-3"/>
          <w:sz w:val="24"/>
        </w:rPr>
        <w:t> </w:t>
      </w:r>
      <w:r>
        <w:rPr>
          <w:sz w:val="24"/>
        </w:rPr>
        <w:t>auxiliary treatment facilities, retention of untreated wastes, or maintenance during normal periods of equipment downtime. This condition is not satisfied if adequate back up equipment should have been installed in the exercise of reasonable engineering judgment to prevent a bypass that occurred during normal periods of equipment downtime or preventive maintenance (40 CFR § 122.41(m)(4)(i)(B));</w:t>
      </w:r>
      <w:r>
        <w:rPr>
          <w:spacing w:val="-1"/>
          <w:sz w:val="24"/>
        </w:rPr>
        <w:t> </w:t>
      </w:r>
      <w:r>
        <w:rPr>
          <w:sz w:val="24"/>
        </w:rPr>
        <w:t>and</w:t>
      </w:r>
    </w:p>
    <w:p>
      <w:pPr>
        <w:pStyle w:val="BodyText"/>
        <w:spacing w:before="9"/>
        <w:rPr>
          <w:sz w:val="20"/>
        </w:rPr>
      </w:pPr>
    </w:p>
    <w:p>
      <w:pPr>
        <w:pStyle w:val="ListParagraph"/>
        <w:numPr>
          <w:ilvl w:val="3"/>
          <w:numId w:val="15"/>
        </w:numPr>
        <w:tabs>
          <w:tab w:pos="1359" w:val="left" w:leader="none"/>
          <w:tab w:pos="1360" w:val="left" w:leader="none"/>
        </w:tabs>
        <w:spacing w:line="240" w:lineRule="auto" w:before="0" w:after="0"/>
        <w:ind w:left="1359" w:right="1107" w:hanging="1080"/>
        <w:jc w:val="left"/>
        <w:rPr>
          <w:sz w:val="24"/>
        </w:rPr>
      </w:pPr>
      <w:r>
        <w:rPr>
          <w:sz w:val="24"/>
        </w:rPr>
        <w:t>The Discharger submitted notice to the Los Angeles Water Board as required under Standard Provisions – Permit Compliance section 1.7.6 below. (40 CFR §</w:t>
      </w:r>
      <w:r>
        <w:rPr>
          <w:spacing w:val="-1"/>
          <w:sz w:val="24"/>
        </w:rPr>
        <w:t> </w:t>
      </w:r>
      <w:r>
        <w:rPr>
          <w:sz w:val="24"/>
        </w:rPr>
        <w:t>122.41(m)(4)(i)(C))</w:t>
      </w:r>
    </w:p>
    <w:p>
      <w:pPr>
        <w:pStyle w:val="BodyText"/>
        <w:spacing w:before="10"/>
        <w:rPr>
          <w:sz w:val="20"/>
        </w:rPr>
      </w:pPr>
    </w:p>
    <w:p>
      <w:pPr>
        <w:pStyle w:val="Heading1"/>
        <w:numPr>
          <w:ilvl w:val="2"/>
          <w:numId w:val="15"/>
        </w:numPr>
        <w:tabs>
          <w:tab w:pos="1100" w:val="left" w:leader="none"/>
          <w:tab w:pos="1101" w:val="left" w:leader="none"/>
        </w:tabs>
        <w:spacing w:line="240" w:lineRule="auto" w:before="0" w:after="0"/>
        <w:ind w:left="1100" w:right="0" w:hanging="822"/>
        <w:jc w:val="left"/>
      </w:pPr>
      <w:r>
        <w:rPr/>
        <w:t>Burden of</w:t>
      </w:r>
      <w:r>
        <w:rPr>
          <w:spacing w:val="-1"/>
        </w:rPr>
        <w:t> </w:t>
      </w:r>
      <w:r>
        <w:rPr/>
        <w:t>Proof.</w:t>
      </w:r>
    </w:p>
    <w:p>
      <w:pPr>
        <w:pStyle w:val="BodyText"/>
        <w:rPr>
          <w:b/>
        </w:rPr>
      </w:pPr>
    </w:p>
    <w:p>
      <w:pPr>
        <w:pStyle w:val="BodyText"/>
        <w:ind w:left="1100" w:right="1135"/>
      </w:pPr>
      <w:r>
        <w:rPr/>
        <w:t>In any enforcement proceeding, the Discharger seeking to establish the bypass defense has the burden of proof.</w:t>
      </w:r>
    </w:p>
    <w:p>
      <w:pPr>
        <w:pStyle w:val="BodyText"/>
        <w:spacing w:before="10"/>
        <w:rPr>
          <w:sz w:val="20"/>
        </w:rPr>
      </w:pPr>
    </w:p>
    <w:p>
      <w:pPr>
        <w:pStyle w:val="Heading1"/>
        <w:numPr>
          <w:ilvl w:val="2"/>
          <w:numId w:val="15"/>
        </w:numPr>
        <w:tabs>
          <w:tab w:pos="1100" w:val="left" w:leader="none"/>
          <w:tab w:pos="1101" w:val="left" w:leader="none"/>
        </w:tabs>
        <w:spacing w:line="240" w:lineRule="auto" w:before="0" w:after="0"/>
        <w:ind w:left="1100" w:right="0" w:hanging="822"/>
        <w:jc w:val="left"/>
      </w:pPr>
      <w:r>
        <w:rPr/>
        <w:t>Notice.</w:t>
      </w:r>
    </w:p>
    <w:p>
      <w:pPr>
        <w:pStyle w:val="BodyText"/>
        <w:spacing w:before="10"/>
        <w:rPr>
          <w:b/>
          <w:sz w:val="20"/>
        </w:rPr>
      </w:pPr>
    </w:p>
    <w:p>
      <w:pPr>
        <w:pStyle w:val="ListParagraph"/>
        <w:numPr>
          <w:ilvl w:val="3"/>
          <w:numId w:val="15"/>
        </w:numPr>
        <w:tabs>
          <w:tab w:pos="1359" w:val="left" w:leader="none"/>
          <w:tab w:pos="1360" w:val="left" w:leader="none"/>
        </w:tabs>
        <w:spacing w:line="240" w:lineRule="auto" w:before="0" w:after="0"/>
        <w:ind w:left="1360" w:right="0" w:hanging="1081"/>
        <w:jc w:val="left"/>
        <w:rPr>
          <w:b/>
          <w:sz w:val="24"/>
        </w:rPr>
      </w:pPr>
      <w:r>
        <w:rPr>
          <w:b/>
          <w:sz w:val="24"/>
        </w:rPr>
        <w:t>Anticipated</w:t>
      </w:r>
      <w:r>
        <w:rPr>
          <w:b/>
          <w:spacing w:val="-1"/>
          <w:sz w:val="24"/>
        </w:rPr>
        <w:t> </w:t>
      </w:r>
      <w:r>
        <w:rPr>
          <w:b/>
          <w:sz w:val="24"/>
        </w:rPr>
        <w:t>bypass.</w:t>
      </w:r>
    </w:p>
    <w:p>
      <w:pPr>
        <w:pStyle w:val="BodyText"/>
        <w:rPr>
          <w:b/>
        </w:rPr>
      </w:pPr>
    </w:p>
    <w:p>
      <w:pPr>
        <w:pStyle w:val="BodyText"/>
        <w:ind w:left="1359" w:right="1036"/>
      </w:pPr>
      <w:r>
        <w:rPr/>
        <w:t>If the Discharger knows in advance of the need for a bypass, it shall submit prior notice, if possible at least 10 days before the date of the bypass. Notices shall comply with 40 CFR part 3, 40 CFR section 122.22, and 40 CFR part</w:t>
      </w:r>
    </w:p>
    <w:p>
      <w:pPr>
        <w:pStyle w:val="BodyText"/>
        <w:spacing w:before="1"/>
        <w:ind w:left="1359"/>
      </w:pPr>
      <w:r>
        <w:rPr/>
        <w:t>127. (40 CFR § 122.41(m)(3)(i))</w:t>
      </w:r>
    </w:p>
    <w:p>
      <w:pPr>
        <w:spacing w:after="0"/>
        <w:sectPr>
          <w:headerReference w:type="default" r:id="rId34"/>
          <w:footerReference w:type="default" r:id="rId35"/>
          <w:pgSz w:w="12240" w:h="15840"/>
          <w:pgMar w:header="728" w:footer="788" w:top="1540" w:bottom="980" w:left="1160" w:right="420"/>
        </w:sectPr>
      </w:pPr>
    </w:p>
    <w:p>
      <w:pPr>
        <w:pStyle w:val="BodyText"/>
        <w:spacing w:before="11"/>
        <w:rPr>
          <w:sz w:val="15"/>
        </w:rPr>
      </w:pPr>
    </w:p>
    <w:p>
      <w:pPr>
        <w:pStyle w:val="Heading1"/>
        <w:numPr>
          <w:ilvl w:val="3"/>
          <w:numId w:val="15"/>
        </w:numPr>
        <w:tabs>
          <w:tab w:pos="1359" w:val="left" w:leader="none"/>
          <w:tab w:pos="1360" w:val="left" w:leader="none"/>
        </w:tabs>
        <w:spacing w:line="240" w:lineRule="auto" w:before="92" w:after="0"/>
        <w:ind w:left="1360" w:right="0" w:hanging="1080"/>
        <w:jc w:val="left"/>
      </w:pPr>
      <w:r>
        <w:rPr/>
        <w:t>Unanticipated</w:t>
      </w:r>
      <w:r>
        <w:rPr>
          <w:spacing w:val="-1"/>
        </w:rPr>
        <w:t> </w:t>
      </w:r>
      <w:r>
        <w:rPr/>
        <w:t>bypass.</w:t>
      </w:r>
    </w:p>
    <w:p>
      <w:pPr>
        <w:pStyle w:val="BodyText"/>
        <w:rPr>
          <w:b/>
        </w:rPr>
      </w:pPr>
    </w:p>
    <w:p>
      <w:pPr>
        <w:pStyle w:val="BodyText"/>
        <w:ind w:left="1360" w:right="1026"/>
      </w:pPr>
      <w:r>
        <w:rPr/>
        <w:t>The Discharger shall submit a notice of an unanticipated bypass as required in Standard Provisions - Reporting section 5.5 below (24-hour notice). Notices shall comply with 40 CFR part 3, 40 CFR section 122.22, and 40 CFR</w:t>
      </w:r>
      <w:r>
        <w:rPr>
          <w:spacing w:val="-29"/>
        </w:rPr>
        <w:t> </w:t>
      </w:r>
      <w:r>
        <w:rPr/>
        <w:t>part</w:t>
      </w:r>
    </w:p>
    <w:p>
      <w:pPr>
        <w:pStyle w:val="BodyText"/>
        <w:ind w:left="1360"/>
      </w:pPr>
      <w:r>
        <w:rPr/>
        <w:t>127. (40 CFR § 122.41(m)(3)(ii))</w:t>
      </w:r>
    </w:p>
    <w:p>
      <w:pPr>
        <w:pStyle w:val="BodyText"/>
        <w:spacing w:before="10"/>
        <w:rPr>
          <w:sz w:val="20"/>
        </w:rPr>
      </w:pPr>
    </w:p>
    <w:p>
      <w:pPr>
        <w:pStyle w:val="Heading1"/>
        <w:numPr>
          <w:ilvl w:val="1"/>
          <w:numId w:val="15"/>
        </w:numPr>
        <w:tabs>
          <w:tab w:pos="871" w:val="left" w:leader="none"/>
        </w:tabs>
        <w:spacing w:line="240" w:lineRule="auto" w:before="0" w:after="0"/>
        <w:ind w:left="870" w:right="0" w:hanging="591"/>
        <w:jc w:val="left"/>
      </w:pPr>
      <w:r>
        <w:rPr/>
        <w:t>Upset.</w:t>
      </w:r>
    </w:p>
    <w:p>
      <w:pPr>
        <w:pStyle w:val="BodyText"/>
        <w:rPr>
          <w:b/>
        </w:rPr>
      </w:pPr>
    </w:p>
    <w:p>
      <w:pPr>
        <w:pStyle w:val="BodyText"/>
        <w:ind w:left="870" w:right="1042"/>
      </w:pPr>
      <w:r>
        <w:rPr/>
        <w:t>Upset means an exceptional incident in which there is unintentional and</w:t>
      </w:r>
      <w:r>
        <w:rPr>
          <w:spacing w:val="-44"/>
        </w:rPr>
        <w:t> </w:t>
      </w:r>
      <w:r>
        <w:rPr/>
        <w:t>temporary noncompliance with technology-based permit effluent limitations because of factors beyond the reasonable control of the Discharger. An upset does not include noncompliance to the extent caused by operational error, improperly designed treatment facilities, inadequate treatment facilities, lack of preventive maintenance, or careless or improper operation. (40 CFR §</w:t>
      </w:r>
      <w:r>
        <w:rPr>
          <w:spacing w:val="-14"/>
        </w:rPr>
        <w:t> </w:t>
      </w:r>
      <w:r>
        <w:rPr/>
        <w:t>122.41(n)(1))</w:t>
      </w:r>
    </w:p>
    <w:p>
      <w:pPr>
        <w:pStyle w:val="BodyText"/>
        <w:spacing w:before="10"/>
        <w:rPr>
          <w:sz w:val="20"/>
        </w:rPr>
      </w:pPr>
    </w:p>
    <w:p>
      <w:pPr>
        <w:pStyle w:val="Heading1"/>
        <w:numPr>
          <w:ilvl w:val="2"/>
          <w:numId w:val="15"/>
        </w:numPr>
        <w:tabs>
          <w:tab w:pos="1100" w:val="left" w:leader="none"/>
          <w:tab w:pos="1101" w:val="left" w:leader="none"/>
        </w:tabs>
        <w:spacing w:line="240" w:lineRule="auto" w:before="1" w:after="0"/>
        <w:ind w:left="1100" w:right="0" w:hanging="821"/>
        <w:jc w:val="left"/>
      </w:pPr>
      <w:r>
        <w:rPr/>
        <w:t>Effect of an</w:t>
      </w:r>
      <w:r>
        <w:rPr>
          <w:spacing w:val="-1"/>
        </w:rPr>
        <w:t> </w:t>
      </w:r>
      <w:r>
        <w:rPr/>
        <w:t>upset.</w:t>
      </w:r>
    </w:p>
    <w:p>
      <w:pPr>
        <w:pStyle w:val="BodyText"/>
        <w:spacing w:before="11"/>
        <w:rPr>
          <w:b/>
          <w:sz w:val="23"/>
        </w:rPr>
      </w:pPr>
    </w:p>
    <w:p>
      <w:pPr>
        <w:pStyle w:val="BodyText"/>
        <w:ind w:left="1100" w:right="1201"/>
      </w:pPr>
      <w:r>
        <w:rPr/>
        <w:t>An upset constitutes an affirmative defense to an action brought for noncompliance with such technology-based permit effluent limitations if the requirements of Standard Provisions – Permit Compliance section 1.8.2 below are met. No determination made during administrative review of claims that noncompliance was caused by upset, and before an action for noncompliance, is final administrative action subject to judicial review. (40 CFR § 122.41(n)(2))</w:t>
      </w:r>
    </w:p>
    <w:p>
      <w:pPr>
        <w:pStyle w:val="BodyText"/>
        <w:spacing w:before="9"/>
        <w:rPr>
          <w:sz w:val="20"/>
        </w:rPr>
      </w:pPr>
    </w:p>
    <w:p>
      <w:pPr>
        <w:pStyle w:val="Heading1"/>
        <w:numPr>
          <w:ilvl w:val="2"/>
          <w:numId w:val="15"/>
        </w:numPr>
        <w:tabs>
          <w:tab w:pos="1100" w:val="left" w:leader="none"/>
          <w:tab w:pos="1101" w:val="left" w:leader="none"/>
        </w:tabs>
        <w:spacing w:line="240" w:lineRule="auto" w:before="0" w:after="0"/>
        <w:ind w:left="1100" w:right="0" w:hanging="821"/>
        <w:jc w:val="left"/>
      </w:pPr>
      <w:r>
        <w:rPr/>
        <w:t>Conditions necessary for a demonstration of</w:t>
      </w:r>
      <w:r>
        <w:rPr>
          <w:spacing w:val="-3"/>
        </w:rPr>
        <w:t> </w:t>
      </w:r>
      <w:r>
        <w:rPr/>
        <w:t>upset.</w:t>
      </w:r>
    </w:p>
    <w:p>
      <w:pPr>
        <w:pStyle w:val="BodyText"/>
        <w:rPr>
          <w:b/>
        </w:rPr>
      </w:pPr>
    </w:p>
    <w:p>
      <w:pPr>
        <w:pStyle w:val="BodyText"/>
        <w:ind w:left="1100" w:right="1028"/>
      </w:pPr>
      <w:r>
        <w:rPr/>
        <w:t>A Discharger who wishes to establish the affirmative defense of upset shall demonstrate, through properly signed, contemporaneous operating logs or other relevant evidence that (40 CFR § 122.41(n)(3)):</w:t>
      </w:r>
    </w:p>
    <w:p>
      <w:pPr>
        <w:pStyle w:val="BodyText"/>
        <w:spacing w:before="10"/>
        <w:rPr>
          <w:sz w:val="20"/>
        </w:rPr>
      </w:pPr>
    </w:p>
    <w:p>
      <w:pPr>
        <w:pStyle w:val="ListParagraph"/>
        <w:numPr>
          <w:ilvl w:val="3"/>
          <w:numId w:val="15"/>
        </w:numPr>
        <w:tabs>
          <w:tab w:pos="1359" w:val="left" w:leader="none"/>
          <w:tab w:pos="1360" w:val="left" w:leader="none"/>
        </w:tabs>
        <w:spacing w:line="240" w:lineRule="auto" w:before="0" w:after="0"/>
        <w:ind w:left="1360" w:right="1452" w:hanging="1080"/>
        <w:jc w:val="left"/>
        <w:rPr>
          <w:sz w:val="24"/>
        </w:rPr>
      </w:pPr>
      <w:r>
        <w:rPr>
          <w:sz w:val="24"/>
        </w:rPr>
        <w:t>An upset occurred and that the Discharger can identify the cause(s) of the upset (40 CFR §</w:t>
      </w:r>
      <w:r>
        <w:rPr>
          <w:spacing w:val="-2"/>
          <w:sz w:val="24"/>
        </w:rPr>
        <w:t> </w:t>
      </w:r>
      <w:r>
        <w:rPr>
          <w:sz w:val="24"/>
        </w:rPr>
        <w:t>122.41(n)(3)(i));</w:t>
      </w:r>
    </w:p>
    <w:p>
      <w:pPr>
        <w:pStyle w:val="BodyText"/>
        <w:spacing w:before="10"/>
        <w:rPr>
          <w:sz w:val="20"/>
        </w:rPr>
      </w:pPr>
    </w:p>
    <w:p>
      <w:pPr>
        <w:pStyle w:val="ListParagraph"/>
        <w:numPr>
          <w:ilvl w:val="3"/>
          <w:numId w:val="15"/>
        </w:numPr>
        <w:tabs>
          <w:tab w:pos="1359" w:val="left" w:leader="none"/>
          <w:tab w:pos="1360" w:val="left" w:leader="none"/>
        </w:tabs>
        <w:spacing w:line="240" w:lineRule="auto" w:before="0" w:after="0"/>
        <w:ind w:left="1360" w:right="2482" w:hanging="1080"/>
        <w:jc w:val="left"/>
        <w:rPr>
          <w:sz w:val="24"/>
        </w:rPr>
      </w:pPr>
      <w:r>
        <w:rPr>
          <w:sz w:val="24"/>
        </w:rPr>
        <w:t>The Facility was, at the time, being properly operated (40 CFR § 122.41(n)(3)(ii));</w:t>
      </w:r>
    </w:p>
    <w:p>
      <w:pPr>
        <w:pStyle w:val="BodyText"/>
        <w:spacing w:before="10"/>
        <w:rPr>
          <w:sz w:val="20"/>
        </w:rPr>
      </w:pPr>
    </w:p>
    <w:p>
      <w:pPr>
        <w:pStyle w:val="ListParagraph"/>
        <w:numPr>
          <w:ilvl w:val="3"/>
          <w:numId w:val="15"/>
        </w:numPr>
        <w:tabs>
          <w:tab w:pos="1359" w:val="left" w:leader="none"/>
          <w:tab w:pos="1360" w:val="left" w:leader="none"/>
        </w:tabs>
        <w:spacing w:line="240" w:lineRule="auto" w:before="0" w:after="0"/>
        <w:ind w:left="1360" w:right="1628" w:hanging="1080"/>
        <w:jc w:val="left"/>
        <w:rPr>
          <w:sz w:val="24"/>
        </w:rPr>
      </w:pPr>
      <w:r>
        <w:rPr>
          <w:sz w:val="24"/>
        </w:rPr>
        <w:t>The Discharger submitted notice of the upset as required in Standard Provisions – Reporting section 5.5.2.2 below (24-hour notice) (40 CFR</w:t>
      </w:r>
      <w:r>
        <w:rPr>
          <w:spacing w:val="-46"/>
          <w:sz w:val="24"/>
        </w:rPr>
        <w:t> </w:t>
      </w:r>
      <w:r>
        <w:rPr>
          <w:sz w:val="24"/>
        </w:rPr>
        <w:t>§ 122.41(n)(3)(iii));</w:t>
      </w:r>
      <w:r>
        <w:rPr>
          <w:spacing w:val="-1"/>
          <w:sz w:val="24"/>
        </w:rPr>
        <w:t> </w:t>
      </w:r>
      <w:r>
        <w:rPr>
          <w:sz w:val="24"/>
        </w:rPr>
        <w:t>and</w:t>
      </w:r>
    </w:p>
    <w:p>
      <w:pPr>
        <w:pStyle w:val="BodyText"/>
        <w:spacing w:before="10"/>
        <w:rPr>
          <w:sz w:val="20"/>
        </w:rPr>
      </w:pPr>
    </w:p>
    <w:p>
      <w:pPr>
        <w:pStyle w:val="ListParagraph"/>
        <w:numPr>
          <w:ilvl w:val="3"/>
          <w:numId w:val="15"/>
        </w:numPr>
        <w:tabs>
          <w:tab w:pos="1358" w:val="left" w:leader="none"/>
          <w:tab w:pos="1359" w:val="left" w:leader="none"/>
        </w:tabs>
        <w:spacing w:line="240" w:lineRule="auto" w:before="0" w:after="0"/>
        <w:ind w:left="1360" w:right="1669" w:hanging="1080"/>
        <w:jc w:val="left"/>
        <w:rPr>
          <w:sz w:val="24"/>
        </w:rPr>
      </w:pPr>
      <w:r>
        <w:rPr>
          <w:sz w:val="24"/>
        </w:rPr>
        <w:t>The Discharger complied with any remedial measures required under Standard Provisions – Permit Compliance section 1.3 above. (40 CFR</w:t>
      </w:r>
      <w:r>
        <w:rPr>
          <w:spacing w:val="-43"/>
          <w:sz w:val="24"/>
        </w:rPr>
        <w:t> </w:t>
      </w:r>
      <w:r>
        <w:rPr>
          <w:sz w:val="24"/>
        </w:rPr>
        <w:t>§ 122.41(n)(3)(iv))</w:t>
      </w:r>
    </w:p>
    <w:p>
      <w:pPr>
        <w:spacing w:after="0" w:line="240" w:lineRule="auto"/>
        <w:jc w:val="left"/>
        <w:rPr>
          <w:sz w:val="24"/>
        </w:rPr>
        <w:sectPr>
          <w:headerReference w:type="default" r:id="rId36"/>
          <w:footerReference w:type="default" r:id="rId37"/>
          <w:pgSz w:w="12240" w:h="15840"/>
          <w:pgMar w:header="728" w:footer="788" w:top="1540" w:bottom="980" w:left="1160" w:right="420"/>
        </w:sectPr>
      </w:pPr>
    </w:p>
    <w:p>
      <w:pPr>
        <w:pStyle w:val="BodyText"/>
        <w:spacing w:before="11"/>
        <w:rPr>
          <w:sz w:val="15"/>
        </w:rPr>
      </w:pPr>
    </w:p>
    <w:p>
      <w:pPr>
        <w:pStyle w:val="Heading1"/>
        <w:numPr>
          <w:ilvl w:val="2"/>
          <w:numId w:val="15"/>
        </w:numPr>
        <w:tabs>
          <w:tab w:pos="1100" w:val="left" w:leader="none"/>
          <w:tab w:pos="1101" w:val="left" w:leader="none"/>
        </w:tabs>
        <w:spacing w:line="240" w:lineRule="auto" w:before="92" w:after="0"/>
        <w:ind w:left="1100" w:right="0" w:hanging="821"/>
        <w:jc w:val="left"/>
      </w:pPr>
      <w:r>
        <w:rPr/>
        <w:t>Burden of</w:t>
      </w:r>
      <w:r>
        <w:rPr>
          <w:spacing w:val="-1"/>
        </w:rPr>
        <w:t> </w:t>
      </w:r>
      <w:r>
        <w:rPr/>
        <w:t>proof.</w:t>
      </w:r>
    </w:p>
    <w:p>
      <w:pPr>
        <w:pStyle w:val="BodyText"/>
        <w:rPr>
          <w:b/>
        </w:rPr>
      </w:pPr>
    </w:p>
    <w:p>
      <w:pPr>
        <w:pStyle w:val="BodyText"/>
        <w:ind w:left="1100" w:right="1035"/>
      </w:pPr>
      <w:r>
        <w:rPr/>
        <w:t>In any enforcement proceeding, the Discharger seeking to establish the occurrence of an upset has the burden of proof. (40 CFR § 122.41(n)(4))</w:t>
      </w:r>
    </w:p>
    <w:p>
      <w:pPr>
        <w:pStyle w:val="BodyText"/>
        <w:spacing w:before="10"/>
        <w:rPr>
          <w:sz w:val="20"/>
        </w:rPr>
      </w:pPr>
    </w:p>
    <w:p>
      <w:pPr>
        <w:pStyle w:val="Heading1"/>
        <w:numPr>
          <w:ilvl w:val="0"/>
          <w:numId w:val="15"/>
        </w:numPr>
        <w:tabs>
          <w:tab w:pos="640" w:val="left" w:leader="none"/>
        </w:tabs>
        <w:spacing w:line="240" w:lineRule="auto" w:before="0" w:after="0"/>
        <w:ind w:left="639" w:right="0" w:hanging="360"/>
        <w:jc w:val="left"/>
      </w:pPr>
      <w:r>
        <w:rPr/>
        <w:t>PERMIT ACTION.</w:t>
      </w:r>
    </w:p>
    <w:p>
      <w:pPr>
        <w:pStyle w:val="BodyText"/>
        <w:spacing w:before="10"/>
        <w:rPr>
          <w:b/>
          <w:sz w:val="20"/>
        </w:rPr>
      </w:pPr>
    </w:p>
    <w:p>
      <w:pPr>
        <w:pStyle w:val="ListParagraph"/>
        <w:numPr>
          <w:ilvl w:val="1"/>
          <w:numId w:val="15"/>
        </w:numPr>
        <w:tabs>
          <w:tab w:pos="871" w:val="left" w:leader="none"/>
        </w:tabs>
        <w:spacing w:line="240" w:lineRule="auto" w:before="0" w:after="0"/>
        <w:ind w:left="870" w:right="0" w:hanging="591"/>
        <w:jc w:val="left"/>
        <w:rPr>
          <w:b/>
          <w:sz w:val="24"/>
        </w:rPr>
      </w:pPr>
      <w:r>
        <w:rPr>
          <w:b/>
          <w:sz w:val="24"/>
        </w:rPr>
        <w:t>General.</w:t>
      </w:r>
    </w:p>
    <w:p>
      <w:pPr>
        <w:pStyle w:val="BodyText"/>
        <w:rPr>
          <w:b/>
        </w:rPr>
      </w:pPr>
    </w:p>
    <w:p>
      <w:pPr>
        <w:pStyle w:val="BodyText"/>
        <w:ind w:left="870" w:right="1018"/>
      </w:pPr>
      <w:r>
        <w:rPr/>
        <w:t>This Order may be modified, revoked and reissued, or terminated for cause. The filing of a request by the Discharger for modification, revocation and reissuance, or termination, or a notification of planned changes or anticipated noncompliance does not stay any Order condition. (40 CFR § 122.41(f))</w:t>
      </w:r>
    </w:p>
    <w:p>
      <w:pPr>
        <w:pStyle w:val="BodyText"/>
        <w:spacing w:before="10"/>
        <w:rPr>
          <w:sz w:val="20"/>
        </w:rPr>
      </w:pPr>
    </w:p>
    <w:p>
      <w:pPr>
        <w:pStyle w:val="Heading1"/>
        <w:numPr>
          <w:ilvl w:val="1"/>
          <w:numId w:val="15"/>
        </w:numPr>
        <w:tabs>
          <w:tab w:pos="871" w:val="left" w:leader="none"/>
        </w:tabs>
        <w:spacing w:line="240" w:lineRule="auto" w:before="1" w:after="0"/>
        <w:ind w:left="870" w:right="0" w:hanging="591"/>
        <w:jc w:val="left"/>
      </w:pPr>
      <w:r>
        <w:rPr/>
        <w:t>Duty to</w:t>
      </w:r>
      <w:r>
        <w:rPr>
          <w:spacing w:val="-1"/>
        </w:rPr>
        <w:t> </w:t>
      </w:r>
      <w:r>
        <w:rPr/>
        <w:t>Reapply.</w:t>
      </w:r>
    </w:p>
    <w:p>
      <w:pPr>
        <w:pStyle w:val="BodyText"/>
        <w:spacing w:before="11"/>
        <w:rPr>
          <w:b/>
          <w:sz w:val="23"/>
        </w:rPr>
      </w:pPr>
    </w:p>
    <w:p>
      <w:pPr>
        <w:pStyle w:val="BodyText"/>
        <w:ind w:left="870" w:right="1379"/>
      </w:pPr>
      <w:r>
        <w:rPr/>
        <w:t>If the Discharger wishes to continue an activity regulated by this Order after the expiration date of this Order, the Discharger must apply for and obtain a new permit. (40 CFR § 122.41(b))</w:t>
      </w:r>
    </w:p>
    <w:p>
      <w:pPr>
        <w:pStyle w:val="BodyText"/>
        <w:spacing w:before="10"/>
        <w:rPr>
          <w:sz w:val="20"/>
        </w:rPr>
      </w:pPr>
    </w:p>
    <w:p>
      <w:pPr>
        <w:pStyle w:val="Heading1"/>
        <w:numPr>
          <w:ilvl w:val="1"/>
          <w:numId w:val="15"/>
        </w:numPr>
        <w:tabs>
          <w:tab w:pos="871" w:val="left" w:leader="none"/>
        </w:tabs>
        <w:spacing w:line="240" w:lineRule="auto" w:before="0" w:after="0"/>
        <w:ind w:left="870" w:right="0" w:hanging="591"/>
        <w:jc w:val="left"/>
      </w:pPr>
      <w:r>
        <w:rPr/>
        <w:t>Transfers.</w:t>
      </w:r>
    </w:p>
    <w:p>
      <w:pPr>
        <w:pStyle w:val="BodyText"/>
        <w:rPr>
          <w:b/>
        </w:rPr>
      </w:pPr>
    </w:p>
    <w:p>
      <w:pPr>
        <w:pStyle w:val="BodyText"/>
        <w:ind w:left="870" w:right="1022"/>
      </w:pPr>
      <w:r>
        <w:rPr/>
        <w:t>This Order is not transferable to any person except after notice to the Los Angeles Water Board. The Los Angeles Water Board may require modification or revocation and reissuance of the Order to change the name of the Discharger and incorporate such other requirements as may be necessary under the CWA and the CWC. (40 CFR §§ 122.41(l)(3),</w:t>
      </w:r>
      <w:r>
        <w:rPr>
          <w:spacing w:val="-5"/>
        </w:rPr>
        <w:t> </w:t>
      </w:r>
      <w:r>
        <w:rPr/>
        <w:t>122.61)</w:t>
      </w:r>
    </w:p>
    <w:p>
      <w:pPr>
        <w:pStyle w:val="BodyText"/>
        <w:spacing w:before="9"/>
        <w:rPr>
          <w:sz w:val="20"/>
        </w:rPr>
      </w:pPr>
    </w:p>
    <w:p>
      <w:pPr>
        <w:pStyle w:val="Heading1"/>
        <w:numPr>
          <w:ilvl w:val="0"/>
          <w:numId w:val="15"/>
        </w:numPr>
        <w:tabs>
          <w:tab w:pos="640" w:val="left" w:leader="none"/>
        </w:tabs>
        <w:spacing w:line="240" w:lineRule="auto" w:before="0" w:after="0"/>
        <w:ind w:left="639" w:right="0" w:hanging="360"/>
        <w:jc w:val="left"/>
      </w:pPr>
      <w:r>
        <w:rPr/>
        <w:t>MONITORING.</w:t>
      </w:r>
    </w:p>
    <w:p>
      <w:pPr>
        <w:pStyle w:val="BodyText"/>
        <w:spacing w:before="10"/>
        <w:rPr>
          <w:b/>
          <w:sz w:val="20"/>
        </w:rPr>
      </w:pPr>
    </w:p>
    <w:p>
      <w:pPr>
        <w:pStyle w:val="ListParagraph"/>
        <w:numPr>
          <w:ilvl w:val="1"/>
          <w:numId w:val="15"/>
        </w:numPr>
        <w:tabs>
          <w:tab w:pos="871" w:val="left" w:leader="none"/>
        </w:tabs>
        <w:spacing w:line="240" w:lineRule="auto" w:before="0" w:after="0"/>
        <w:ind w:left="870" w:right="0" w:hanging="591"/>
        <w:jc w:val="left"/>
        <w:rPr>
          <w:b/>
          <w:sz w:val="24"/>
        </w:rPr>
      </w:pPr>
      <w:r>
        <w:rPr>
          <w:b/>
          <w:sz w:val="24"/>
        </w:rPr>
        <w:t>Samples and</w:t>
      </w:r>
      <w:r>
        <w:rPr>
          <w:b/>
          <w:spacing w:val="-1"/>
          <w:sz w:val="24"/>
        </w:rPr>
        <w:t> </w:t>
      </w:r>
      <w:r>
        <w:rPr>
          <w:b/>
          <w:sz w:val="24"/>
        </w:rPr>
        <w:t>measurements.</w:t>
      </w:r>
    </w:p>
    <w:p>
      <w:pPr>
        <w:pStyle w:val="BodyText"/>
        <w:rPr>
          <w:b/>
        </w:rPr>
      </w:pPr>
    </w:p>
    <w:p>
      <w:pPr>
        <w:pStyle w:val="BodyText"/>
        <w:ind w:left="870" w:right="1035"/>
      </w:pPr>
      <w:r>
        <w:rPr/>
        <w:t>Samples and measurements taken for the purpose of monitoring shall be representative of the monitored activity. (40 CFR § 122.41(j)(1))</w:t>
      </w:r>
    </w:p>
    <w:p>
      <w:pPr>
        <w:pStyle w:val="BodyText"/>
        <w:spacing w:before="10"/>
        <w:rPr>
          <w:sz w:val="20"/>
        </w:rPr>
      </w:pPr>
    </w:p>
    <w:p>
      <w:pPr>
        <w:pStyle w:val="Heading1"/>
        <w:numPr>
          <w:ilvl w:val="1"/>
          <w:numId w:val="15"/>
        </w:numPr>
        <w:tabs>
          <w:tab w:pos="871" w:val="left" w:leader="none"/>
        </w:tabs>
        <w:spacing w:line="240" w:lineRule="auto" w:before="0" w:after="0"/>
        <w:ind w:left="870" w:right="0" w:hanging="591"/>
        <w:jc w:val="left"/>
      </w:pPr>
      <w:r>
        <w:rPr/>
        <w:t>Monitoring.</w:t>
      </w:r>
    </w:p>
    <w:p>
      <w:pPr>
        <w:pStyle w:val="BodyText"/>
        <w:rPr>
          <w:b/>
        </w:rPr>
      </w:pPr>
    </w:p>
    <w:p>
      <w:pPr>
        <w:pStyle w:val="BodyText"/>
        <w:ind w:left="870" w:right="1138"/>
      </w:pPr>
      <w:r>
        <w:rPr/>
        <w:t>Monitoring must be conducted according to test procedures approved under 40 CFR part 136 for the analyses of pollutants unless another method is required under 40 CFR Chapter 1, Subchapters N or O. Monitoring must be conducted according to sufficiently sensitive test methods approved under 40 CFR part 136 for the analysis of pollutants or pollutant parameters or as required under 40 CFR</w:t>
      </w:r>
    </w:p>
    <w:p>
      <w:pPr>
        <w:spacing w:after="0"/>
        <w:sectPr>
          <w:headerReference w:type="default" r:id="rId38"/>
          <w:footerReference w:type="default" r:id="rId39"/>
          <w:pgSz w:w="12240" w:h="15840"/>
          <w:pgMar w:header="728" w:footer="788" w:top="1540" w:bottom="980" w:left="1160" w:right="420"/>
        </w:sectPr>
      </w:pPr>
    </w:p>
    <w:p>
      <w:pPr>
        <w:pStyle w:val="BodyText"/>
        <w:spacing w:before="11"/>
        <w:rPr>
          <w:sz w:val="15"/>
        </w:rPr>
      </w:pPr>
    </w:p>
    <w:p>
      <w:pPr>
        <w:pStyle w:val="BodyText"/>
        <w:spacing w:before="92"/>
        <w:ind w:left="870" w:right="1272"/>
      </w:pPr>
      <w:r>
        <w:rPr/>
        <w:t>Chapter 1, Subchapters N or O. For the purposes of this paragraph, a method is sufficiently sensitive when:</w:t>
      </w:r>
    </w:p>
    <w:p>
      <w:pPr>
        <w:pStyle w:val="BodyText"/>
        <w:spacing w:before="10"/>
        <w:rPr>
          <w:sz w:val="20"/>
        </w:rPr>
      </w:pPr>
    </w:p>
    <w:p>
      <w:pPr>
        <w:pStyle w:val="ListParagraph"/>
        <w:numPr>
          <w:ilvl w:val="2"/>
          <w:numId w:val="15"/>
        </w:numPr>
        <w:tabs>
          <w:tab w:pos="1100" w:val="left" w:leader="none"/>
          <w:tab w:pos="1101" w:val="left" w:leader="none"/>
        </w:tabs>
        <w:spacing w:line="240" w:lineRule="auto" w:before="0" w:after="0"/>
        <w:ind w:left="1100" w:right="1127" w:hanging="821"/>
        <w:jc w:val="left"/>
        <w:rPr>
          <w:sz w:val="24"/>
        </w:rPr>
      </w:pPr>
      <w:r>
        <w:rPr>
          <w:sz w:val="24"/>
        </w:rPr>
        <w:t>The method minimum level (ML) is at or below the level of the most stringent effluent limitation established in the permit for the measured pollutant or pollutant parameter, and either the method ML is at or below the level of the most stringent applicable water quality criterion for the measured pollutant or pollutant parameter or the method ML is above the applicable water quality criterion but the amount of the pollutant or pollutant parameter in the facility’s discharge</w:t>
      </w:r>
      <w:r>
        <w:rPr>
          <w:spacing w:val="-4"/>
          <w:sz w:val="24"/>
        </w:rPr>
        <w:t> </w:t>
      </w:r>
      <w:r>
        <w:rPr>
          <w:sz w:val="24"/>
        </w:rPr>
        <w:t>is</w:t>
      </w:r>
      <w:r>
        <w:rPr>
          <w:spacing w:val="-4"/>
          <w:sz w:val="24"/>
        </w:rPr>
        <w:t> </w:t>
      </w:r>
      <w:r>
        <w:rPr>
          <w:sz w:val="24"/>
        </w:rPr>
        <w:t>high</w:t>
      </w:r>
      <w:r>
        <w:rPr>
          <w:spacing w:val="-4"/>
          <w:sz w:val="24"/>
        </w:rPr>
        <w:t> </w:t>
      </w:r>
      <w:r>
        <w:rPr>
          <w:sz w:val="24"/>
        </w:rPr>
        <w:t>enough</w:t>
      </w:r>
      <w:r>
        <w:rPr>
          <w:spacing w:val="-4"/>
          <w:sz w:val="24"/>
        </w:rPr>
        <w:t> </w:t>
      </w:r>
      <w:r>
        <w:rPr>
          <w:sz w:val="24"/>
        </w:rPr>
        <w:t>that</w:t>
      </w:r>
      <w:r>
        <w:rPr>
          <w:spacing w:val="-4"/>
          <w:sz w:val="24"/>
        </w:rPr>
        <w:t> </w:t>
      </w:r>
      <w:r>
        <w:rPr>
          <w:sz w:val="24"/>
        </w:rPr>
        <w:t>the</w:t>
      </w:r>
      <w:r>
        <w:rPr>
          <w:spacing w:val="-4"/>
          <w:sz w:val="24"/>
        </w:rPr>
        <w:t> </w:t>
      </w:r>
      <w:r>
        <w:rPr>
          <w:sz w:val="24"/>
        </w:rPr>
        <w:t>method</w:t>
      </w:r>
      <w:r>
        <w:rPr>
          <w:spacing w:val="-3"/>
          <w:sz w:val="24"/>
        </w:rPr>
        <w:t> </w:t>
      </w:r>
      <w:r>
        <w:rPr>
          <w:sz w:val="24"/>
        </w:rPr>
        <w:t>detects</w:t>
      </w:r>
      <w:r>
        <w:rPr>
          <w:spacing w:val="-4"/>
          <w:sz w:val="24"/>
        </w:rPr>
        <w:t> </w:t>
      </w:r>
      <w:r>
        <w:rPr>
          <w:sz w:val="24"/>
        </w:rPr>
        <w:t>and</w:t>
      </w:r>
      <w:r>
        <w:rPr>
          <w:spacing w:val="-4"/>
          <w:sz w:val="24"/>
        </w:rPr>
        <w:t> </w:t>
      </w:r>
      <w:r>
        <w:rPr>
          <w:sz w:val="24"/>
        </w:rPr>
        <w:t>quantifies</w:t>
      </w:r>
      <w:r>
        <w:rPr>
          <w:spacing w:val="-4"/>
          <w:sz w:val="24"/>
        </w:rPr>
        <w:t> </w:t>
      </w:r>
      <w:r>
        <w:rPr>
          <w:sz w:val="24"/>
        </w:rPr>
        <w:t>the</w:t>
      </w:r>
      <w:r>
        <w:rPr>
          <w:spacing w:val="-4"/>
          <w:sz w:val="24"/>
        </w:rPr>
        <w:t> </w:t>
      </w:r>
      <w:r>
        <w:rPr>
          <w:sz w:val="24"/>
        </w:rPr>
        <w:t>level</w:t>
      </w:r>
      <w:r>
        <w:rPr>
          <w:spacing w:val="-3"/>
          <w:sz w:val="24"/>
        </w:rPr>
        <w:t> </w:t>
      </w:r>
      <w:r>
        <w:rPr>
          <w:sz w:val="24"/>
        </w:rPr>
        <w:t>of</w:t>
      </w:r>
      <w:r>
        <w:rPr>
          <w:spacing w:val="-4"/>
          <w:sz w:val="24"/>
        </w:rPr>
        <w:t> </w:t>
      </w:r>
      <w:r>
        <w:rPr>
          <w:sz w:val="24"/>
        </w:rPr>
        <w:t>the pollutant or pollutant parameter in the discharge;</w:t>
      </w:r>
      <w:r>
        <w:rPr>
          <w:spacing w:val="-6"/>
          <w:sz w:val="24"/>
        </w:rPr>
        <w:t> </w:t>
      </w:r>
      <w:r>
        <w:rPr>
          <w:sz w:val="24"/>
        </w:rPr>
        <w:t>or</w:t>
      </w:r>
    </w:p>
    <w:p>
      <w:pPr>
        <w:pStyle w:val="BodyText"/>
        <w:spacing w:before="10"/>
        <w:rPr>
          <w:sz w:val="20"/>
        </w:rPr>
      </w:pPr>
    </w:p>
    <w:p>
      <w:pPr>
        <w:pStyle w:val="ListParagraph"/>
        <w:numPr>
          <w:ilvl w:val="2"/>
          <w:numId w:val="15"/>
        </w:numPr>
        <w:tabs>
          <w:tab w:pos="1100" w:val="left" w:leader="none"/>
          <w:tab w:pos="1101" w:val="left" w:leader="none"/>
        </w:tabs>
        <w:spacing w:line="240" w:lineRule="auto" w:before="1" w:after="0"/>
        <w:ind w:left="1100" w:right="1193" w:hanging="821"/>
        <w:jc w:val="left"/>
        <w:rPr>
          <w:sz w:val="24"/>
        </w:rPr>
      </w:pPr>
      <w:r>
        <w:rPr>
          <w:sz w:val="24"/>
        </w:rPr>
        <w:t>The method has the lowest ML of the analytical methods approved under 40 CFR part 136 or required under 40 CFR Chapter 1, Subchapters N or O for the measured pollutant or pollutant</w:t>
      </w:r>
      <w:r>
        <w:rPr>
          <w:spacing w:val="-2"/>
          <w:sz w:val="24"/>
        </w:rPr>
        <w:t> </w:t>
      </w:r>
      <w:r>
        <w:rPr>
          <w:sz w:val="24"/>
        </w:rPr>
        <w:t>parameter.</w:t>
      </w:r>
    </w:p>
    <w:p>
      <w:pPr>
        <w:pStyle w:val="BodyText"/>
        <w:spacing w:before="9"/>
        <w:rPr>
          <w:sz w:val="20"/>
        </w:rPr>
      </w:pPr>
    </w:p>
    <w:p>
      <w:pPr>
        <w:pStyle w:val="ListParagraph"/>
        <w:numPr>
          <w:ilvl w:val="3"/>
          <w:numId w:val="15"/>
        </w:numPr>
        <w:tabs>
          <w:tab w:pos="1359" w:val="left" w:leader="none"/>
          <w:tab w:pos="1360" w:val="left" w:leader="none"/>
        </w:tabs>
        <w:spacing w:line="240" w:lineRule="auto" w:before="1" w:after="0"/>
        <w:ind w:left="1359" w:right="1259" w:hanging="1080"/>
        <w:jc w:val="left"/>
        <w:rPr>
          <w:sz w:val="24"/>
        </w:rPr>
      </w:pPr>
      <w:r>
        <w:rPr>
          <w:sz w:val="24"/>
        </w:rPr>
        <w:t>In the case of pollutants or pollutant parameters for which there are no approved methods under 40 CFR part 136 or otherwise required under 40 CFR Chapter 1, Subchapters N or O, monitoring must be conducted according to a test procedure specified in this Order for such pollutants or pollutant</w:t>
      </w:r>
      <w:r>
        <w:rPr>
          <w:spacing w:val="-10"/>
          <w:sz w:val="24"/>
        </w:rPr>
        <w:t> </w:t>
      </w:r>
      <w:r>
        <w:rPr>
          <w:sz w:val="24"/>
        </w:rPr>
        <w:t>parameters.</w:t>
      </w:r>
      <w:r>
        <w:rPr>
          <w:spacing w:val="-10"/>
          <w:sz w:val="24"/>
        </w:rPr>
        <w:t> </w:t>
      </w:r>
      <w:r>
        <w:rPr>
          <w:sz w:val="24"/>
        </w:rPr>
        <w:t>(40</w:t>
      </w:r>
      <w:r>
        <w:rPr>
          <w:spacing w:val="-10"/>
          <w:sz w:val="24"/>
        </w:rPr>
        <w:t> </w:t>
      </w:r>
      <w:r>
        <w:rPr>
          <w:sz w:val="24"/>
        </w:rPr>
        <w:t>CFR</w:t>
      </w:r>
      <w:r>
        <w:rPr>
          <w:spacing w:val="-9"/>
          <w:sz w:val="24"/>
        </w:rPr>
        <w:t> </w:t>
      </w:r>
      <w:r>
        <w:rPr>
          <w:sz w:val="24"/>
        </w:rPr>
        <w:t>§§</w:t>
      </w:r>
      <w:r>
        <w:rPr>
          <w:spacing w:val="-9"/>
          <w:sz w:val="24"/>
        </w:rPr>
        <w:t> </w:t>
      </w:r>
      <w:r>
        <w:rPr>
          <w:sz w:val="24"/>
        </w:rPr>
        <w:t>122.21(e)(3),122.41(j)(4),</w:t>
      </w:r>
      <w:r>
        <w:rPr>
          <w:spacing w:val="-9"/>
          <w:sz w:val="24"/>
        </w:rPr>
        <w:t> </w:t>
      </w:r>
      <w:r>
        <w:rPr>
          <w:sz w:val="24"/>
        </w:rPr>
        <w:t>122.44(i)(1)(iv))</w:t>
      </w:r>
    </w:p>
    <w:p>
      <w:pPr>
        <w:pStyle w:val="BodyText"/>
        <w:spacing w:before="10"/>
        <w:rPr>
          <w:sz w:val="20"/>
        </w:rPr>
      </w:pPr>
    </w:p>
    <w:p>
      <w:pPr>
        <w:pStyle w:val="ListParagraph"/>
        <w:numPr>
          <w:ilvl w:val="3"/>
          <w:numId w:val="15"/>
        </w:numPr>
        <w:tabs>
          <w:tab w:pos="1359" w:val="left" w:leader="none"/>
          <w:tab w:pos="1360" w:val="left" w:leader="none"/>
        </w:tabs>
        <w:spacing w:line="240" w:lineRule="auto" w:before="0" w:after="0"/>
        <w:ind w:left="1359" w:right="1081" w:hanging="1080"/>
        <w:jc w:val="left"/>
        <w:rPr>
          <w:sz w:val="24"/>
        </w:rPr>
      </w:pPr>
      <w:r>
        <w:rPr>
          <w:sz w:val="24"/>
        </w:rPr>
        <w:t>In the case of sludge use or disposal approved under 40 CFR part 136, monitoring must be conducted according to test procedures in 40 CFR part 503 unless otherwise specified in 40 CFR or other test procedures have</w:t>
      </w:r>
      <w:r>
        <w:rPr>
          <w:spacing w:val="-45"/>
          <w:sz w:val="24"/>
        </w:rPr>
        <w:t> </w:t>
      </w:r>
      <w:r>
        <w:rPr>
          <w:sz w:val="24"/>
        </w:rPr>
        <w:t>been specified in this</w:t>
      </w:r>
      <w:r>
        <w:rPr>
          <w:spacing w:val="-1"/>
          <w:sz w:val="24"/>
        </w:rPr>
        <w:t> </w:t>
      </w:r>
      <w:r>
        <w:rPr>
          <w:sz w:val="24"/>
        </w:rPr>
        <w:t>Order.</w:t>
      </w:r>
    </w:p>
    <w:p>
      <w:pPr>
        <w:pStyle w:val="BodyText"/>
        <w:spacing w:before="8"/>
        <w:rPr>
          <w:sz w:val="20"/>
        </w:rPr>
      </w:pPr>
    </w:p>
    <w:p>
      <w:pPr>
        <w:pStyle w:val="Heading1"/>
        <w:numPr>
          <w:ilvl w:val="0"/>
          <w:numId w:val="15"/>
        </w:numPr>
        <w:tabs>
          <w:tab w:pos="640" w:val="left" w:leader="none"/>
        </w:tabs>
        <w:spacing w:line="240" w:lineRule="auto" w:before="1" w:after="0"/>
        <w:ind w:left="639" w:right="0" w:hanging="361"/>
        <w:jc w:val="left"/>
      </w:pPr>
      <w:r>
        <w:rPr/>
        <w:t>RECORDS.</w:t>
      </w:r>
    </w:p>
    <w:p>
      <w:pPr>
        <w:pStyle w:val="BodyText"/>
        <w:spacing w:before="11"/>
        <w:rPr>
          <w:b/>
          <w:sz w:val="23"/>
        </w:rPr>
      </w:pPr>
    </w:p>
    <w:p>
      <w:pPr>
        <w:pStyle w:val="BodyText"/>
        <w:ind w:left="639" w:right="1143"/>
      </w:pPr>
      <w:r>
        <w:rPr/>
        <w:t>The Discharger shall retain records of all best management practice and monitoring information, including all calibration and maintenance records and all original strip chart recordings for continuous monitoring instrumentation, copies of all reports required by this Order, and records of all data used to complete the application for this Order, for a period of at least three (3) years from the date of the sample, measurement, report or application. This period may be extended by request of the Los Angeles Water Board Executive Officer at any time. (40 CFR § 122.41(j)(2))</w:t>
      </w:r>
    </w:p>
    <w:p>
      <w:pPr>
        <w:pStyle w:val="BodyText"/>
        <w:spacing w:before="10"/>
        <w:rPr>
          <w:sz w:val="20"/>
        </w:rPr>
      </w:pPr>
    </w:p>
    <w:p>
      <w:pPr>
        <w:pStyle w:val="Heading1"/>
        <w:numPr>
          <w:ilvl w:val="1"/>
          <w:numId w:val="15"/>
        </w:numPr>
        <w:tabs>
          <w:tab w:pos="871" w:val="left" w:leader="none"/>
        </w:tabs>
        <w:spacing w:line="240" w:lineRule="auto" w:before="0" w:after="0"/>
        <w:ind w:left="870" w:right="0" w:hanging="591"/>
        <w:jc w:val="left"/>
      </w:pPr>
      <w:r>
        <w:rPr/>
        <w:t>Monitoring Information Record</w:t>
      </w:r>
      <w:r>
        <w:rPr>
          <w:spacing w:val="-1"/>
        </w:rPr>
        <w:t> </w:t>
      </w:r>
      <w:r>
        <w:rPr/>
        <w:t>Requirements.</w:t>
      </w:r>
    </w:p>
    <w:p>
      <w:pPr>
        <w:pStyle w:val="BodyText"/>
        <w:rPr>
          <w:b/>
        </w:rPr>
      </w:pPr>
    </w:p>
    <w:p>
      <w:pPr>
        <w:pStyle w:val="BodyText"/>
        <w:ind w:left="870"/>
      </w:pPr>
      <w:r>
        <w:rPr/>
        <w:t>Records of monitoring information shall include:</w:t>
      </w:r>
    </w:p>
    <w:p>
      <w:pPr>
        <w:pStyle w:val="BodyText"/>
        <w:spacing w:before="10"/>
        <w:rPr>
          <w:sz w:val="20"/>
        </w:rPr>
      </w:pPr>
    </w:p>
    <w:p>
      <w:pPr>
        <w:pStyle w:val="ListParagraph"/>
        <w:numPr>
          <w:ilvl w:val="2"/>
          <w:numId w:val="15"/>
        </w:numPr>
        <w:tabs>
          <w:tab w:pos="1100" w:val="left" w:leader="none"/>
          <w:tab w:pos="1101" w:val="left" w:leader="none"/>
        </w:tabs>
        <w:spacing w:line="240" w:lineRule="auto" w:before="0" w:after="0"/>
        <w:ind w:left="1100" w:right="1808" w:hanging="821"/>
        <w:jc w:val="left"/>
        <w:rPr>
          <w:sz w:val="24"/>
        </w:rPr>
      </w:pPr>
      <w:r>
        <w:rPr>
          <w:sz w:val="24"/>
        </w:rPr>
        <w:t>The date, exact place, and time of sampling or measurements (40 CFR</w:t>
      </w:r>
      <w:r>
        <w:rPr>
          <w:spacing w:val="-41"/>
          <w:sz w:val="24"/>
        </w:rPr>
        <w:t> </w:t>
      </w:r>
      <w:r>
        <w:rPr>
          <w:sz w:val="24"/>
        </w:rPr>
        <w:t>§ 122.41(j)(3)(i));</w:t>
      </w:r>
    </w:p>
    <w:p>
      <w:pPr>
        <w:pStyle w:val="BodyText"/>
        <w:spacing w:before="10"/>
        <w:rPr>
          <w:sz w:val="20"/>
        </w:rPr>
      </w:pPr>
    </w:p>
    <w:p>
      <w:pPr>
        <w:pStyle w:val="ListParagraph"/>
        <w:numPr>
          <w:ilvl w:val="2"/>
          <w:numId w:val="15"/>
        </w:numPr>
        <w:tabs>
          <w:tab w:pos="1100" w:val="left" w:leader="none"/>
          <w:tab w:pos="1101" w:val="left" w:leader="none"/>
        </w:tabs>
        <w:spacing w:line="240" w:lineRule="auto" w:before="1" w:after="0"/>
        <w:ind w:left="1100" w:right="1595" w:hanging="821"/>
        <w:jc w:val="left"/>
        <w:rPr>
          <w:sz w:val="24"/>
        </w:rPr>
      </w:pPr>
      <w:r>
        <w:rPr>
          <w:sz w:val="24"/>
        </w:rPr>
        <w:t>The individual(s) who performed the sampling or measurements (40 CFR</w:t>
      </w:r>
      <w:r>
        <w:rPr>
          <w:spacing w:val="-42"/>
          <w:sz w:val="24"/>
        </w:rPr>
        <w:t> </w:t>
      </w:r>
      <w:r>
        <w:rPr>
          <w:sz w:val="24"/>
        </w:rPr>
        <w:t>§ 122.41(j)(3)(ii));</w:t>
      </w:r>
    </w:p>
    <w:p>
      <w:pPr>
        <w:spacing w:after="0" w:line="240" w:lineRule="auto"/>
        <w:jc w:val="left"/>
        <w:rPr>
          <w:sz w:val="24"/>
        </w:rPr>
        <w:sectPr>
          <w:headerReference w:type="default" r:id="rId40"/>
          <w:footerReference w:type="default" r:id="rId41"/>
          <w:pgSz w:w="12240" w:h="15840"/>
          <w:pgMar w:header="728" w:footer="788" w:top="1540" w:bottom="980" w:left="1160" w:right="420"/>
        </w:sectPr>
      </w:pPr>
    </w:p>
    <w:p>
      <w:pPr>
        <w:pStyle w:val="BodyText"/>
        <w:spacing w:before="11"/>
        <w:rPr>
          <w:sz w:val="15"/>
        </w:rPr>
      </w:pPr>
    </w:p>
    <w:p>
      <w:pPr>
        <w:pStyle w:val="ListParagraph"/>
        <w:numPr>
          <w:ilvl w:val="2"/>
          <w:numId w:val="15"/>
        </w:numPr>
        <w:tabs>
          <w:tab w:pos="1100" w:val="left" w:leader="none"/>
          <w:tab w:pos="1101" w:val="left" w:leader="none"/>
        </w:tabs>
        <w:spacing w:line="240" w:lineRule="auto" w:before="92" w:after="0"/>
        <w:ind w:left="1100" w:right="0" w:hanging="821"/>
        <w:jc w:val="left"/>
        <w:rPr>
          <w:sz w:val="24"/>
        </w:rPr>
      </w:pPr>
      <w:r>
        <w:rPr>
          <w:sz w:val="24"/>
        </w:rPr>
        <w:t>The date(s) analyses were performed (40 CFR §</w:t>
      </w:r>
      <w:r>
        <w:rPr>
          <w:spacing w:val="-8"/>
          <w:sz w:val="24"/>
        </w:rPr>
        <w:t> </w:t>
      </w:r>
      <w:r>
        <w:rPr>
          <w:sz w:val="24"/>
        </w:rPr>
        <w:t>122.41(j)(3)(iii));</w:t>
      </w:r>
    </w:p>
    <w:p>
      <w:pPr>
        <w:pStyle w:val="BodyText"/>
        <w:spacing w:before="10"/>
        <w:rPr>
          <w:sz w:val="20"/>
        </w:rPr>
      </w:pPr>
    </w:p>
    <w:p>
      <w:pPr>
        <w:pStyle w:val="ListParagraph"/>
        <w:numPr>
          <w:ilvl w:val="2"/>
          <w:numId w:val="15"/>
        </w:numPr>
        <w:tabs>
          <w:tab w:pos="1100" w:val="left" w:leader="none"/>
          <w:tab w:pos="1101" w:val="left" w:leader="none"/>
        </w:tabs>
        <w:spacing w:line="240" w:lineRule="auto" w:before="0" w:after="0"/>
        <w:ind w:left="1100" w:right="0" w:hanging="821"/>
        <w:jc w:val="left"/>
        <w:rPr>
          <w:sz w:val="24"/>
        </w:rPr>
      </w:pPr>
      <w:r>
        <w:rPr>
          <w:sz w:val="24"/>
        </w:rPr>
        <w:t>The individual(s) who performed the analyses (40 CFR §</w:t>
      </w:r>
      <w:r>
        <w:rPr>
          <w:spacing w:val="-12"/>
          <w:sz w:val="24"/>
        </w:rPr>
        <w:t> </w:t>
      </w:r>
      <w:r>
        <w:rPr>
          <w:sz w:val="24"/>
        </w:rPr>
        <w:t>122.41(j)(3)(iv));</w:t>
      </w:r>
    </w:p>
    <w:p>
      <w:pPr>
        <w:pStyle w:val="BodyText"/>
        <w:spacing w:before="10"/>
        <w:rPr>
          <w:sz w:val="20"/>
        </w:rPr>
      </w:pPr>
    </w:p>
    <w:p>
      <w:pPr>
        <w:pStyle w:val="ListParagraph"/>
        <w:numPr>
          <w:ilvl w:val="2"/>
          <w:numId w:val="15"/>
        </w:numPr>
        <w:tabs>
          <w:tab w:pos="1100" w:val="left" w:leader="none"/>
          <w:tab w:pos="1101" w:val="left" w:leader="none"/>
        </w:tabs>
        <w:spacing w:line="240" w:lineRule="auto" w:before="0" w:after="0"/>
        <w:ind w:left="1100" w:right="0" w:hanging="821"/>
        <w:jc w:val="left"/>
        <w:rPr>
          <w:sz w:val="24"/>
        </w:rPr>
      </w:pPr>
      <w:r>
        <w:rPr>
          <w:sz w:val="24"/>
        </w:rPr>
        <w:t>The analytical techniques or methods used (40 CFR § 122.41(j)(3)(v));</w:t>
      </w:r>
      <w:r>
        <w:rPr>
          <w:spacing w:val="-13"/>
          <w:sz w:val="24"/>
        </w:rPr>
        <w:t> </w:t>
      </w:r>
      <w:r>
        <w:rPr>
          <w:sz w:val="24"/>
        </w:rPr>
        <w:t>and</w:t>
      </w:r>
    </w:p>
    <w:p>
      <w:pPr>
        <w:pStyle w:val="BodyText"/>
        <w:spacing w:before="10"/>
        <w:rPr>
          <w:sz w:val="20"/>
        </w:rPr>
      </w:pPr>
    </w:p>
    <w:p>
      <w:pPr>
        <w:pStyle w:val="ListParagraph"/>
        <w:numPr>
          <w:ilvl w:val="2"/>
          <w:numId w:val="15"/>
        </w:numPr>
        <w:tabs>
          <w:tab w:pos="1100" w:val="left" w:leader="none"/>
          <w:tab w:pos="1101" w:val="left" w:leader="none"/>
        </w:tabs>
        <w:spacing w:line="240" w:lineRule="auto" w:before="0" w:after="0"/>
        <w:ind w:left="1100" w:right="0" w:hanging="821"/>
        <w:jc w:val="left"/>
        <w:rPr>
          <w:sz w:val="24"/>
        </w:rPr>
      </w:pPr>
      <w:r>
        <w:rPr>
          <w:sz w:val="24"/>
        </w:rPr>
        <w:t>The results of such analyses. (40 CFR §</w:t>
      </w:r>
      <w:r>
        <w:rPr>
          <w:spacing w:val="-6"/>
          <w:sz w:val="24"/>
        </w:rPr>
        <w:t> </w:t>
      </w:r>
      <w:r>
        <w:rPr>
          <w:sz w:val="24"/>
        </w:rPr>
        <w:t>122.41(j)(3)(vi))</w:t>
      </w:r>
    </w:p>
    <w:p>
      <w:pPr>
        <w:pStyle w:val="BodyText"/>
        <w:spacing w:before="10"/>
        <w:rPr>
          <w:sz w:val="20"/>
        </w:rPr>
      </w:pPr>
    </w:p>
    <w:p>
      <w:pPr>
        <w:pStyle w:val="Heading1"/>
        <w:numPr>
          <w:ilvl w:val="1"/>
          <w:numId w:val="15"/>
        </w:numPr>
        <w:tabs>
          <w:tab w:pos="871" w:val="left" w:leader="none"/>
        </w:tabs>
        <w:spacing w:line="240" w:lineRule="auto" w:before="0" w:after="0"/>
        <w:ind w:left="870" w:right="0" w:hanging="591"/>
        <w:jc w:val="left"/>
      </w:pPr>
      <w:r>
        <w:rPr/>
        <w:t>Best Management Practice Record</w:t>
      </w:r>
      <w:r>
        <w:rPr>
          <w:spacing w:val="-3"/>
        </w:rPr>
        <w:t> </w:t>
      </w:r>
      <w:r>
        <w:rPr/>
        <w:t>Requirements.</w:t>
      </w:r>
    </w:p>
    <w:p>
      <w:pPr>
        <w:pStyle w:val="BodyText"/>
        <w:rPr>
          <w:b/>
        </w:rPr>
      </w:pPr>
    </w:p>
    <w:p>
      <w:pPr>
        <w:pStyle w:val="BodyText"/>
        <w:ind w:left="870"/>
      </w:pPr>
      <w:r>
        <w:rPr/>
        <w:t>Records of best management practices shall include:</w:t>
      </w:r>
    </w:p>
    <w:p>
      <w:pPr>
        <w:pStyle w:val="BodyText"/>
        <w:spacing w:before="10"/>
        <w:rPr>
          <w:sz w:val="20"/>
        </w:rPr>
      </w:pPr>
    </w:p>
    <w:p>
      <w:pPr>
        <w:pStyle w:val="ListParagraph"/>
        <w:numPr>
          <w:ilvl w:val="2"/>
          <w:numId w:val="15"/>
        </w:numPr>
        <w:tabs>
          <w:tab w:pos="1100" w:val="left" w:leader="none"/>
          <w:tab w:pos="1101" w:val="left" w:leader="none"/>
        </w:tabs>
        <w:spacing w:line="240" w:lineRule="auto" w:before="1" w:after="0"/>
        <w:ind w:left="1100" w:right="1701" w:hanging="821"/>
        <w:jc w:val="left"/>
        <w:rPr>
          <w:sz w:val="24"/>
        </w:rPr>
      </w:pPr>
      <w:r>
        <w:rPr>
          <w:sz w:val="24"/>
        </w:rPr>
        <w:t>The</w:t>
      </w:r>
      <w:r>
        <w:rPr>
          <w:spacing w:val="-5"/>
          <w:sz w:val="24"/>
        </w:rPr>
        <w:t> </w:t>
      </w:r>
      <w:r>
        <w:rPr>
          <w:sz w:val="24"/>
        </w:rPr>
        <w:t>date</w:t>
      </w:r>
      <w:r>
        <w:rPr>
          <w:spacing w:val="-4"/>
          <w:sz w:val="24"/>
        </w:rPr>
        <w:t> </w:t>
      </w:r>
      <w:r>
        <w:rPr>
          <w:sz w:val="24"/>
        </w:rPr>
        <w:t>and</w:t>
      </w:r>
      <w:r>
        <w:rPr>
          <w:spacing w:val="-5"/>
          <w:sz w:val="24"/>
        </w:rPr>
        <w:t> </w:t>
      </w:r>
      <w:r>
        <w:rPr>
          <w:sz w:val="24"/>
        </w:rPr>
        <w:t>time</w:t>
      </w:r>
      <w:r>
        <w:rPr>
          <w:spacing w:val="-4"/>
          <w:sz w:val="24"/>
        </w:rPr>
        <w:t> </w:t>
      </w:r>
      <w:r>
        <w:rPr>
          <w:sz w:val="24"/>
        </w:rPr>
        <w:t>of</w:t>
      </w:r>
      <w:r>
        <w:rPr>
          <w:spacing w:val="-5"/>
          <w:sz w:val="24"/>
        </w:rPr>
        <w:t> </w:t>
      </w:r>
      <w:r>
        <w:rPr>
          <w:sz w:val="24"/>
        </w:rPr>
        <w:t>inspections</w:t>
      </w:r>
      <w:r>
        <w:rPr>
          <w:spacing w:val="-4"/>
          <w:sz w:val="24"/>
        </w:rPr>
        <w:t> </w:t>
      </w:r>
      <w:r>
        <w:rPr>
          <w:sz w:val="24"/>
        </w:rPr>
        <w:t>and</w:t>
      </w:r>
      <w:r>
        <w:rPr>
          <w:spacing w:val="-4"/>
          <w:sz w:val="24"/>
        </w:rPr>
        <w:t> </w:t>
      </w:r>
      <w:r>
        <w:rPr>
          <w:sz w:val="24"/>
        </w:rPr>
        <w:t>evaluations</w:t>
      </w:r>
      <w:r>
        <w:rPr>
          <w:spacing w:val="-5"/>
          <w:sz w:val="24"/>
        </w:rPr>
        <w:t> </w:t>
      </w:r>
      <w:r>
        <w:rPr>
          <w:sz w:val="24"/>
        </w:rPr>
        <w:t>for</w:t>
      </w:r>
      <w:r>
        <w:rPr>
          <w:spacing w:val="-4"/>
          <w:sz w:val="24"/>
        </w:rPr>
        <w:t> </w:t>
      </w:r>
      <w:r>
        <w:rPr>
          <w:sz w:val="24"/>
        </w:rPr>
        <w:t>proper</w:t>
      </w:r>
      <w:r>
        <w:rPr>
          <w:spacing w:val="-5"/>
          <w:sz w:val="24"/>
        </w:rPr>
        <w:t> </w:t>
      </w:r>
      <w:r>
        <w:rPr>
          <w:sz w:val="24"/>
        </w:rPr>
        <w:t>operation</w:t>
      </w:r>
      <w:r>
        <w:rPr>
          <w:spacing w:val="-4"/>
          <w:sz w:val="24"/>
        </w:rPr>
        <w:t> </w:t>
      </w:r>
      <w:r>
        <w:rPr>
          <w:sz w:val="24"/>
        </w:rPr>
        <w:t>and maintenance for BMPs used to comply with this</w:t>
      </w:r>
      <w:r>
        <w:rPr>
          <w:spacing w:val="-6"/>
          <w:sz w:val="24"/>
        </w:rPr>
        <w:t> </w:t>
      </w:r>
      <w:r>
        <w:rPr>
          <w:sz w:val="24"/>
        </w:rPr>
        <w:t>Order;</w:t>
      </w:r>
    </w:p>
    <w:p>
      <w:pPr>
        <w:pStyle w:val="BodyText"/>
        <w:spacing w:before="9"/>
        <w:rPr>
          <w:sz w:val="20"/>
        </w:rPr>
      </w:pPr>
    </w:p>
    <w:p>
      <w:pPr>
        <w:pStyle w:val="ListParagraph"/>
        <w:numPr>
          <w:ilvl w:val="2"/>
          <w:numId w:val="15"/>
        </w:numPr>
        <w:tabs>
          <w:tab w:pos="1100" w:val="left" w:leader="none"/>
          <w:tab w:pos="1101" w:val="left" w:leader="none"/>
        </w:tabs>
        <w:spacing w:line="240" w:lineRule="auto" w:before="1" w:after="0"/>
        <w:ind w:left="1100" w:right="0" w:hanging="821"/>
        <w:jc w:val="left"/>
        <w:rPr>
          <w:sz w:val="24"/>
        </w:rPr>
      </w:pPr>
      <w:r>
        <w:rPr>
          <w:sz w:val="24"/>
        </w:rPr>
        <w:t>The individual(s) who performed the inspections and evaluations;</w:t>
      </w:r>
      <w:r>
        <w:rPr>
          <w:spacing w:val="-9"/>
          <w:sz w:val="24"/>
        </w:rPr>
        <w:t> </w:t>
      </w:r>
      <w:r>
        <w:rPr>
          <w:sz w:val="24"/>
        </w:rPr>
        <w:t>and</w:t>
      </w:r>
    </w:p>
    <w:p>
      <w:pPr>
        <w:pStyle w:val="BodyText"/>
        <w:spacing w:before="9"/>
        <w:rPr>
          <w:sz w:val="20"/>
        </w:rPr>
      </w:pPr>
    </w:p>
    <w:p>
      <w:pPr>
        <w:pStyle w:val="ListParagraph"/>
        <w:numPr>
          <w:ilvl w:val="2"/>
          <w:numId w:val="15"/>
        </w:numPr>
        <w:tabs>
          <w:tab w:pos="1100" w:val="left" w:leader="none"/>
          <w:tab w:pos="1101" w:val="left" w:leader="none"/>
        </w:tabs>
        <w:spacing w:line="240" w:lineRule="auto" w:before="1" w:after="0"/>
        <w:ind w:left="1100" w:right="0" w:hanging="821"/>
        <w:jc w:val="left"/>
        <w:rPr>
          <w:sz w:val="24"/>
        </w:rPr>
      </w:pPr>
      <w:r>
        <w:rPr>
          <w:sz w:val="24"/>
        </w:rPr>
        <w:t>The results of the</w:t>
      </w:r>
      <w:r>
        <w:rPr>
          <w:spacing w:val="-3"/>
          <w:sz w:val="24"/>
        </w:rPr>
        <w:t> </w:t>
      </w:r>
      <w:r>
        <w:rPr>
          <w:sz w:val="24"/>
        </w:rPr>
        <w:t>evaluations.</w:t>
      </w:r>
    </w:p>
    <w:p>
      <w:pPr>
        <w:pStyle w:val="BodyText"/>
        <w:spacing w:before="9"/>
        <w:rPr>
          <w:sz w:val="20"/>
        </w:rPr>
      </w:pPr>
    </w:p>
    <w:p>
      <w:pPr>
        <w:pStyle w:val="Heading1"/>
        <w:numPr>
          <w:ilvl w:val="1"/>
          <w:numId w:val="15"/>
        </w:numPr>
        <w:tabs>
          <w:tab w:pos="871" w:val="left" w:leader="none"/>
        </w:tabs>
        <w:spacing w:line="240" w:lineRule="auto" w:before="1" w:after="0"/>
        <w:ind w:left="870" w:right="0" w:hanging="591"/>
        <w:jc w:val="left"/>
      </w:pPr>
      <w:r>
        <w:rPr/>
        <w:t>Claims of</w:t>
      </w:r>
      <w:r>
        <w:rPr>
          <w:spacing w:val="-2"/>
        </w:rPr>
        <w:t> </w:t>
      </w:r>
      <w:r>
        <w:rPr/>
        <w:t>Confidentiality.</w:t>
      </w:r>
    </w:p>
    <w:p>
      <w:pPr>
        <w:pStyle w:val="BodyText"/>
        <w:spacing w:before="11"/>
        <w:rPr>
          <w:b/>
          <w:sz w:val="23"/>
        </w:rPr>
      </w:pPr>
    </w:p>
    <w:p>
      <w:pPr>
        <w:pStyle w:val="BodyText"/>
        <w:ind w:left="870" w:right="1035"/>
      </w:pPr>
      <w:r>
        <w:rPr/>
        <w:t>Claims of confidentiality for the following information will be denied (40 CFR § 122.7(b)):</w:t>
      </w:r>
    </w:p>
    <w:p>
      <w:pPr>
        <w:pStyle w:val="BodyText"/>
        <w:spacing w:before="10"/>
        <w:rPr>
          <w:sz w:val="20"/>
        </w:rPr>
      </w:pPr>
    </w:p>
    <w:p>
      <w:pPr>
        <w:pStyle w:val="ListParagraph"/>
        <w:numPr>
          <w:ilvl w:val="2"/>
          <w:numId w:val="15"/>
        </w:numPr>
        <w:tabs>
          <w:tab w:pos="1100" w:val="left" w:leader="none"/>
          <w:tab w:pos="1101" w:val="left" w:leader="none"/>
        </w:tabs>
        <w:spacing w:line="240" w:lineRule="auto" w:before="0" w:after="0"/>
        <w:ind w:left="1100" w:right="1927" w:hanging="821"/>
        <w:jc w:val="left"/>
        <w:rPr>
          <w:sz w:val="24"/>
        </w:rPr>
      </w:pPr>
      <w:r>
        <w:rPr>
          <w:sz w:val="24"/>
        </w:rPr>
        <w:t>The name and address of any permit applicant or Discharger (40 CFR § 122.7(b)(1));</w:t>
      </w:r>
      <w:r>
        <w:rPr>
          <w:spacing w:val="-1"/>
          <w:sz w:val="24"/>
        </w:rPr>
        <w:t> </w:t>
      </w:r>
      <w:r>
        <w:rPr>
          <w:sz w:val="24"/>
        </w:rPr>
        <w:t>and</w:t>
      </w:r>
    </w:p>
    <w:p>
      <w:pPr>
        <w:pStyle w:val="BodyText"/>
        <w:spacing w:before="10"/>
        <w:rPr>
          <w:sz w:val="20"/>
        </w:rPr>
      </w:pPr>
    </w:p>
    <w:p>
      <w:pPr>
        <w:pStyle w:val="ListParagraph"/>
        <w:numPr>
          <w:ilvl w:val="2"/>
          <w:numId w:val="15"/>
        </w:numPr>
        <w:tabs>
          <w:tab w:pos="1100" w:val="left" w:leader="none"/>
          <w:tab w:pos="1101" w:val="left" w:leader="none"/>
        </w:tabs>
        <w:spacing w:line="240" w:lineRule="auto" w:before="0" w:after="0"/>
        <w:ind w:left="1100" w:right="1675" w:hanging="821"/>
        <w:jc w:val="left"/>
        <w:rPr>
          <w:sz w:val="24"/>
        </w:rPr>
      </w:pPr>
      <w:r>
        <w:rPr>
          <w:sz w:val="24"/>
        </w:rPr>
        <w:t>Permit applications and attachments, permits and effluent data. (40 CFR</w:t>
      </w:r>
      <w:r>
        <w:rPr>
          <w:spacing w:val="-47"/>
          <w:sz w:val="24"/>
        </w:rPr>
        <w:t> </w:t>
      </w:r>
      <w:r>
        <w:rPr>
          <w:sz w:val="24"/>
        </w:rPr>
        <w:t>§ 122.7(b)(2))</w:t>
      </w:r>
    </w:p>
    <w:p>
      <w:pPr>
        <w:pStyle w:val="BodyText"/>
        <w:spacing w:before="10"/>
        <w:rPr>
          <w:sz w:val="20"/>
        </w:rPr>
      </w:pPr>
    </w:p>
    <w:p>
      <w:pPr>
        <w:pStyle w:val="Heading1"/>
        <w:numPr>
          <w:ilvl w:val="0"/>
          <w:numId w:val="15"/>
        </w:numPr>
        <w:tabs>
          <w:tab w:pos="640" w:val="left" w:leader="none"/>
        </w:tabs>
        <w:spacing w:line="240" w:lineRule="auto" w:before="0" w:after="0"/>
        <w:ind w:left="639" w:right="0" w:hanging="361"/>
        <w:jc w:val="left"/>
      </w:pPr>
      <w:r>
        <w:rPr/>
        <w:t>REPORTING.</w:t>
      </w:r>
    </w:p>
    <w:p>
      <w:pPr>
        <w:pStyle w:val="BodyText"/>
        <w:spacing w:before="10"/>
        <w:rPr>
          <w:b/>
          <w:sz w:val="20"/>
        </w:rPr>
      </w:pPr>
    </w:p>
    <w:p>
      <w:pPr>
        <w:pStyle w:val="ListParagraph"/>
        <w:numPr>
          <w:ilvl w:val="1"/>
          <w:numId w:val="15"/>
        </w:numPr>
        <w:tabs>
          <w:tab w:pos="871" w:val="left" w:leader="none"/>
        </w:tabs>
        <w:spacing w:line="240" w:lineRule="auto" w:before="0" w:after="0"/>
        <w:ind w:left="870" w:right="0" w:hanging="592"/>
        <w:jc w:val="left"/>
        <w:rPr>
          <w:b/>
          <w:sz w:val="24"/>
        </w:rPr>
      </w:pPr>
      <w:r>
        <w:rPr>
          <w:b/>
          <w:sz w:val="24"/>
        </w:rPr>
        <w:t>Duty to Provide</w:t>
      </w:r>
      <w:r>
        <w:rPr>
          <w:b/>
          <w:spacing w:val="-1"/>
          <w:sz w:val="24"/>
        </w:rPr>
        <w:t> </w:t>
      </w:r>
      <w:r>
        <w:rPr>
          <w:b/>
          <w:sz w:val="24"/>
        </w:rPr>
        <w:t>Information.</w:t>
      </w:r>
    </w:p>
    <w:p>
      <w:pPr>
        <w:pStyle w:val="BodyText"/>
        <w:spacing w:before="11"/>
        <w:rPr>
          <w:b/>
          <w:sz w:val="23"/>
        </w:rPr>
      </w:pPr>
    </w:p>
    <w:p>
      <w:pPr>
        <w:pStyle w:val="BodyText"/>
        <w:ind w:left="870" w:right="1072"/>
      </w:pPr>
      <w:r>
        <w:rPr/>
        <w:t>The Discharger shall furnish to the Los Angeles Water Board, State Water Board, or USEPA within a reasonable time, any information which the Los Angeles Water Board, State Water Board, or USEPA may request to determine whether cause exists for modifying, revoking and reissuing, or terminating this Order or to determine compliance with this Order. Upon request, the Discharger shall also furnish to the Los Angeles Water Board, State Water Board, or USEPA copies of records required to be kept by this Order. (40 CFR § 122.41(h); CWC §§ 13267, 13383)</w:t>
      </w:r>
    </w:p>
    <w:p>
      <w:pPr>
        <w:pStyle w:val="BodyText"/>
        <w:spacing w:before="10"/>
        <w:rPr>
          <w:sz w:val="20"/>
        </w:rPr>
      </w:pPr>
    </w:p>
    <w:p>
      <w:pPr>
        <w:pStyle w:val="Heading1"/>
        <w:numPr>
          <w:ilvl w:val="1"/>
          <w:numId w:val="15"/>
        </w:numPr>
        <w:tabs>
          <w:tab w:pos="871" w:val="left" w:leader="none"/>
        </w:tabs>
        <w:spacing w:line="240" w:lineRule="auto" w:before="0" w:after="0"/>
        <w:ind w:left="870" w:right="0" w:hanging="592"/>
        <w:jc w:val="left"/>
      </w:pPr>
      <w:r>
        <w:rPr/>
        <w:t>Signatory and Certification</w:t>
      </w:r>
      <w:r>
        <w:rPr>
          <w:spacing w:val="-2"/>
        </w:rPr>
        <w:t> </w:t>
      </w:r>
      <w:r>
        <w:rPr/>
        <w:t>Requirements.</w:t>
      </w:r>
    </w:p>
    <w:p>
      <w:pPr>
        <w:pStyle w:val="BodyText"/>
        <w:spacing w:before="10"/>
        <w:rPr>
          <w:b/>
          <w:sz w:val="20"/>
        </w:rPr>
      </w:pPr>
    </w:p>
    <w:p>
      <w:pPr>
        <w:pStyle w:val="ListParagraph"/>
        <w:numPr>
          <w:ilvl w:val="2"/>
          <w:numId w:val="15"/>
        </w:numPr>
        <w:tabs>
          <w:tab w:pos="1100" w:val="left" w:leader="none"/>
          <w:tab w:pos="1101" w:val="left" w:leader="none"/>
        </w:tabs>
        <w:spacing w:line="240" w:lineRule="auto" w:before="0" w:after="0"/>
        <w:ind w:left="1100" w:right="1603" w:hanging="821"/>
        <w:jc w:val="left"/>
        <w:rPr>
          <w:sz w:val="24"/>
        </w:rPr>
      </w:pPr>
      <w:r>
        <w:rPr>
          <w:sz w:val="24"/>
        </w:rPr>
        <w:t>All applications, reports, or information submitted to the Los Angeles Water Board, State Water Board, and/or USEPA shall be signed and certified</w:t>
      </w:r>
      <w:r>
        <w:rPr>
          <w:spacing w:val="-35"/>
          <w:sz w:val="24"/>
        </w:rPr>
        <w:t> </w:t>
      </w:r>
      <w:r>
        <w:rPr>
          <w:sz w:val="24"/>
        </w:rPr>
        <w:t>in</w:t>
      </w:r>
    </w:p>
    <w:p>
      <w:pPr>
        <w:spacing w:after="0" w:line="240" w:lineRule="auto"/>
        <w:jc w:val="left"/>
        <w:rPr>
          <w:sz w:val="24"/>
        </w:rPr>
        <w:sectPr>
          <w:headerReference w:type="default" r:id="rId42"/>
          <w:footerReference w:type="default" r:id="rId43"/>
          <w:pgSz w:w="12240" w:h="15840"/>
          <w:pgMar w:header="728" w:footer="788" w:top="1540" w:bottom="980" w:left="1160" w:right="420"/>
        </w:sectPr>
      </w:pPr>
    </w:p>
    <w:p>
      <w:pPr>
        <w:pStyle w:val="BodyText"/>
        <w:spacing w:before="11"/>
        <w:rPr>
          <w:sz w:val="15"/>
        </w:rPr>
      </w:pPr>
    </w:p>
    <w:p>
      <w:pPr>
        <w:pStyle w:val="BodyText"/>
        <w:spacing w:before="92"/>
        <w:ind w:left="1100" w:right="1335"/>
      </w:pPr>
      <w:r>
        <w:rPr/>
        <w:t>accordance with Standard Provisions – Reporting sections 5.2.2, 5.2.3, 5.2.4, 5.2.5, and 5.2.6 below. (40 CFR § 122.41(k))</w:t>
      </w:r>
    </w:p>
    <w:p>
      <w:pPr>
        <w:pStyle w:val="BodyText"/>
        <w:spacing w:before="10"/>
        <w:rPr>
          <w:sz w:val="20"/>
        </w:rPr>
      </w:pPr>
    </w:p>
    <w:p>
      <w:pPr>
        <w:pStyle w:val="ListParagraph"/>
        <w:numPr>
          <w:ilvl w:val="2"/>
          <w:numId w:val="15"/>
        </w:numPr>
        <w:tabs>
          <w:tab w:pos="1099" w:val="left" w:leader="none"/>
          <w:tab w:pos="1100" w:val="left" w:leader="none"/>
        </w:tabs>
        <w:spacing w:line="240" w:lineRule="auto" w:before="0" w:after="0"/>
        <w:ind w:left="1100" w:right="1126" w:hanging="821"/>
        <w:jc w:val="left"/>
        <w:rPr>
          <w:sz w:val="24"/>
        </w:rPr>
      </w:pPr>
      <w:r>
        <w:rPr>
          <w:sz w:val="24"/>
        </w:rPr>
        <w:t>All permit applications (i.e., NOI and Permit Registration Documents) shall be signed by a Legally Responsible Person. (40 CFR § 122.22(a)(1)). Any third party (i.e., contractor or consultant) who does not satisfy the requirements of any of the categories below is not qualified to be a Legally Responsible</w:t>
      </w:r>
      <w:r>
        <w:rPr>
          <w:spacing w:val="-47"/>
          <w:sz w:val="24"/>
        </w:rPr>
        <w:t> </w:t>
      </w:r>
      <w:r>
        <w:rPr>
          <w:sz w:val="24"/>
        </w:rPr>
        <w:t>Person. The following persons or entities may serve as a Legally Responsible</w:t>
      </w:r>
      <w:r>
        <w:rPr>
          <w:spacing w:val="-33"/>
          <w:sz w:val="24"/>
        </w:rPr>
        <w:t> </w:t>
      </w:r>
      <w:r>
        <w:rPr>
          <w:sz w:val="24"/>
        </w:rPr>
        <w:t>Person:</w:t>
      </w:r>
    </w:p>
    <w:p>
      <w:pPr>
        <w:pStyle w:val="BodyText"/>
        <w:spacing w:before="10"/>
        <w:rPr>
          <w:sz w:val="20"/>
        </w:rPr>
      </w:pPr>
    </w:p>
    <w:p>
      <w:pPr>
        <w:pStyle w:val="ListParagraph"/>
        <w:numPr>
          <w:ilvl w:val="3"/>
          <w:numId w:val="15"/>
        </w:numPr>
        <w:tabs>
          <w:tab w:pos="1358" w:val="left" w:leader="none"/>
          <w:tab w:pos="1359" w:val="left" w:leader="none"/>
        </w:tabs>
        <w:spacing w:line="240" w:lineRule="auto" w:before="0" w:after="0"/>
        <w:ind w:left="1360" w:right="1083" w:hanging="1080"/>
        <w:jc w:val="left"/>
        <w:rPr>
          <w:sz w:val="24"/>
        </w:rPr>
      </w:pPr>
      <w:r>
        <w:rPr>
          <w:sz w:val="24"/>
        </w:rPr>
        <w:t>For a corporation: by a responsible corporate officer. For the purpose of this section, a responsible corporate officer means either: a president, secretary, treasurer, or vice president of the corporation in charge of a principal business function; or the manager of one or more manufacturing, production, or operating facilities, provided, the manager is authorized to make management decisions which govern the operation of the regulated facility including having the explicit or implicit duty of making major capital investment recommendations, and initiating and directing other comprehensive measures to assure long term environmental compliance</w:t>
      </w:r>
      <w:r>
        <w:rPr>
          <w:spacing w:val="-36"/>
          <w:sz w:val="24"/>
        </w:rPr>
        <w:t> </w:t>
      </w:r>
      <w:r>
        <w:rPr>
          <w:sz w:val="24"/>
        </w:rPr>
        <w:t>with environmental laws and regulations; the manager can ensure that the necessary systems are established or actions taken to gather complete and accurate information for permit application requirements; and where authority to sign documents has been assigned or delegated to the manager in accordance with corporate</w:t>
      </w:r>
      <w:r>
        <w:rPr>
          <w:spacing w:val="-2"/>
          <w:sz w:val="24"/>
        </w:rPr>
        <w:t> </w:t>
      </w:r>
      <w:r>
        <w:rPr>
          <w:sz w:val="24"/>
        </w:rPr>
        <w:t>procedures.</w:t>
      </w:r>
    </w:p>
    <w:p>
      <w:pPr>
        <w:pStyle w:val="BodyText"/>
        <w:spacing w:before="9"/>
        <w:rPr>
          <w:sz w:val="20"/>
        </w:rPr>
      </w:pPr>
    </w:p>
    <w:p>
      <w:pPr>
        <w:pStyle w:val="ListParagraph"/>
        <w:numPr>
          <w:ilvl w:val="3"/>
          <w:numId w:val="15"/>
        </w:numPr>
        <w:tabs>
          <w:tab w:pos="1359" w:val="left" w:leader="none"/>
          <w:tab w:pos="1360" w:val="left" w:leader="none"/>
        </w:tabs>
        <w:spacing w:line="240" w:lineRule="auto" w:before="1" w:after="0"/>
        <w:ind w:left="1360" w:right="1025" w:hanging="1080"/>
        <w:jc w:val="left"/>
        <w:rPr>
          <w:sz w:val="24"/>
        </w:rPr>
      </w:pPr>
      <w:r>
        <w:rPr>
          <w:sz w:val="24"/>
        </w:rPr>
        <w:t>For a partnership or sole proprietorship: by a general partner or the proprietor, respectively;</w:t>
      </w:r>
      <w:r>
        <w:rPr>
          <w:spacing w:val="-1"/>
          <w:sz w:val="24"/>
        </w:rPr>
        <w:t> </w:t>
      </w:r>
      <w:r>
        <w:rPr>
          <w:sz w:val="24"/>
        </w:rPr>
        <w:t>or</w:t>
      </w:r>
    </w:p>
    <w:p>
      <w:pPr>
        <w:pStyle w:val="BodyText"/>
        <w:spacing w:before="9"/>
        <w:rPr>
          <w:sz w:val="20"/>
        </w:rPr>
      </w:pPr>
    </w:p>
    <w:p>
      <w:pPr>
        <w:pStyle w:val="ListParagraph"/>
        <w:numPr>
          <w:ilvl w:val="3"/>
          <w:numId w:val="15"/>
        </w:numPr>
        <w:tabs>
          <w:tab w:pos="1359" w:val="left" w:leader="none"/>
          <w:tab w:pos="1360" w:val="left" w:leader="none"/>
        </w:tabs>
        <w:spacing w:line="240" w:lineRule="auto" w:before="1" w:after="0"/>
        <w:ind w:left="1360" w:right="1416" w:hanging="1080"/>
        <w:jc w:val="left"/>
        <w:rPr>
          <w:sz w:val="24"/>
        </w:rPr>
      </w:pPr>
      <w:r>
        <w:rPr>
          <w:sz w:val="24"/>
        </w:rPr>
        <w:t>For</w:t>
      </w:r>
      <w:r>
        <w:rPr>
          <w:spacing w:val="-6"/>
          <w:sz w:val="24"/>
        </w:rPr>
        <w:t> </w:t>
      </w:r>
      <w:r>
        <w:rPr>
          <w:sz w:val="24"/>
        </w:rPr>
        <w:t>private</w:t>
      </w:r>
      <w:r>
        <w:rPr>
          <w:spacing w:val="-7"/>
          <w:sz w:val="24"/>
        </w:rPr>
        <w:t> </w:t>
      </w:r>
      <w:r>
        <w:rPr>
          <w:sz w:val="24"/>
        </w:rPr>
        <w:t>institutions</w:t>
      </w:r>
      <w:r>
        <w:rPr>
          <w:spacing w:val="-6"/>
          <w:sz w:val="24"/>
        </w:rPr>
        <w:t> </w:t>
      </w:r>
      <w:r>
        <w:rPr>
          <w:sz w:val="24"/>
        </w:rPr>
        <w:t>(e.g.,</w:t>
      </w:r>
      <w:r>
        <w:rPr>
          <w:spacing w:val="-6"/>
          <w:sz w:val="24"/>
        </w:rPr>
        <w:t> </w:t>
      </w:r>
      <w:r>
        <w:rPr>
          <w:sz w:val="24"/>
        </w:rPr>
        <w:t>universities,</w:t>
      </w:r>
      <w:r>
        <w:rPr>
          <w:spacing w:val="-6"/>
          <w:sz w:val="24"/>
        </w:rPr>
        <w:t> </w:t>
      </w:r>
      <w:r>
        <w:rPr>
          <w:sz w:val="24"/>
        </w:rPr>
        <w:t>hospitals,</w:t>
      </w:r>
      <w:r>
        <w:rPr>
          <w:spacing w:val="-6"/>
          <w:sz w:val="24"/>
        </w:rPr>
        <w:t> </w:t>
      </w:r>
      <w:r>
        <w:rPr>
          <w:sz w:val="24"/>
        </w:rPr>
        <w:t>churches):</w:t>
      </w:r>
      <w:r>
        <w:rPr>
          <w:spacing w:val="-5"/>
          <w:sz w:val="24"/>
        </w:rPr>
        <w:t> </w:t>
      </w:r>
      <w:r>
        <w:rPr>
          <w:sz w:val="24"/>
        </w:rPr>
        <w:t>by</w:t>
      </w:r>
      <w:r>
        <w:rPr>
          <w:spacing w:val="-6"/>
          <w:sz w:val="24"/>
        </w:rPr>
        <w:t> </w:t>
      </w:r>
      <w:r>
        <w:rPr>
          <w:sz w:val="24"/>
        </w:rPr>
        <w:t>a</w:t>
      </w:r>
      <w:r>
        <w:rPr>
          <w:spacing w:val="-6"/>
          <w:sz w:val="24"/>
        </w:rPr>
        <w:t> </w:t>
      </w:r>
      <w:r>
        <w:rPr>
          <w:sz w:val="24"/>
        </w:rPr>
        <w:t>person with authority to enter into a contract with a third party;</w:t>
      </w:r>
      <w:r>
        <w:rPr>
          <w:spacing w:val="-10"/>
          <w:sz w:val="24"/>
        </w:rPr>
        <w:t> </w:t>
      </w:r>
      <w:r>
        <w:rPr>
          <w:sz w:val="24"/>
        </w:rPr>
        <w:t>or</w:t>
      </w:r>
    </w:p>
    <w:p>
      <w:pPr>
        <w:pStyle w:val="BodyText"/>
        <w:spacing w:before="10"/>
        <w:rPr>
          <w:sz w:val="20"/>
        </w:rPr>
      </w:pPr>
    </w:p>
    <w:p>
      <w:pPr>
        <w:pStyle w:val="ListParagraph"/>
        <w:numPr>
          <w:ilvl w:val="3"/>
          <w:numId w:val="15"/>
        </w:numPr>
        <w:tabs>
          <w:tab w:pos="1358" w:val="left" w:leader="none"/>
          <w:tab w:pos="1359" w:val="left" w:leader="none"/>
        </w:tabs>
        <w:spacing w:line="240" w:lineRule="auto" w:before="0" w:after="0"/>
        <w:ind w:left="1358" w:right="0" w:hanging="1079"/>
        <w:jc w:val="left"/>
        <w:rPr>
          <w:sz w:val="24"/>
        </w:rPr>
      </w:pPr>
      <w:r>
        <w:rPr>
          <w:sz w:val="24"/>
        </w:rPr>
        <w:t>For an individual: the individual;</w:t>
      </w:r>
      <w:r>
        <w:rPr>
          <w:spacing w:val="-2"/>
          <w:sz w:val="24"/>
        </w:rPr>
        <w:t> </w:t>
      </w:r>
      <w:r>
        <w:rPr>
          <w:sz w:val="24"/>
        </w:rPr>
        <w:t>or</w:t>
      </w:r>
    </w:p>
    <w:p>
      <w:pPr>
        <w:pStyle w:val="BodyText"/>
        <w:spacing w:before="10"/>
        <w:rPr>
          <w:sz w:val="20"/>
        </w:rPr>
      </w:pPr>
    </w:p>
    <w:p>
      <w:pPr>
        <w:pStyle w:val="ListParagraph"/>
        <w:numPr>
          <w:ilvl w:val="3"/>
          <w:numId w:val="15"/>
        </w:numPr>
        <w:tabs>
          <w:tab w:pos="1359" w:val="left" w:leader="none"/>
          <w:tab w:pos="1360" w:val="left" w:leader="none"/>
        </w:tabs>
        <w:spacing w:line="240" w:lineRule="auto" w:before="0" w:after="0"/>
        <w:ind w:left="1360" w:right="1255" w:hanging="1080"/>
        <w:jc w:val="left"/>
        <w:rPr>
          <w:sz w:val="24"/>
        </w:rPr>
      </w:pPr>
      <w:r>
        <w:rPr>
          <w:sz w:val="24"/>
        </w:rPr>
        <w:t>For any type of entity not listed above (e.g., trusts, estates, receivers): an authorized</w:t>
      </w:r>
      <w:r>
        <w:rPr>
          <w:spacing w:val="-6"/>
          <w:sz w:val="24"/>
        </w:rPr>
        <w:t> </w:t>
      </w:r>
      <w:r>
        <w:rPr>
          <w:sz w:val="24"/>
        </w:rPr>
        <w:t>person</w:t>
      </w:r>
      <w:r>
        <w:rPr>
          <w:spacing w:val="-5"/>
          <w:sz w:val="24"/>
        </w:rPr>
        <w:t> </w:t>
      </w:r>
      <w:r>
        <w:rPr>
          <w:sz w:val="24"/>
        </w:rPr>
        <w:t>with</w:t>
      </w:r>
      <w:r>
        <w:rPr>
          <w:spacing w:val="-6"/>
          <w:sz w:val="24"/>
        </w:rPr>
        <w:t> </w:t>
      </w:r>
      <w:r>
        <w:rPr>
          <w:sz w:val="24"/>
        </w:rPr>
        <w:t>managerial</w:t>
      </w:r>
      <w:r>
        <w:rPr>
          <w:spacing w:val="-5"/>
          <w:sz w:val="24"/>
        </w:rPr>
        <w:t> </w:t>
      </w:r>
      <w:r>
        <w:rPr>
          <w:sz w:val="24"/>
        </w:rPr>
        <w:t>authority</w:t>
      </w:r>
      <w:r>
        <w:rPr>
          <w:spacing w:val="-6"/>
          <w:sz w:val="24"/>
        </w:rPr>
        <w:t> </w:t>
      </w:r>
      <w:r>
        <w:rPr>
          <w:sz w:val="24"/>
        </w:rPr>
        <w:t>over</w:t>
      </w:r>
      <w:r>
        <w:rPr>
          <w:spacing w:val="-5"/>
          <w:sz w:val="24"/>
        </w:rPr>
        <w:t> </w:t>
      </w:r>
      <w:r>
        <w:rPr>
          <w:sz w:val="24"/>
        </w:rPr>
        <w:t>the</w:t>
      </w:r>
      <w:r>
        <w:rPr>
          <w:spacing w:val="-4"/>
          <w:sz w:val="24"/>
        </w:rPr>
        <w:t> </w:t>
      </w:r>
      <w:r>
        <w:rPr>
          <w:sz w:val="24"/>
        </w:rPr>
        <w:t>discharge</w:t>
      </w:r>
      <w:r>
        <w:rPr>
          <w:spacing w:val="-7"/>
          <w:sz w:val="24"/>
        </w:rPr>
        <w:t> </w:t>
      </w:r>
      <w:r>
        <w:rPr>
          <w:sz w:val="24"/>
        </w:rPr>
        <w:t>or</w:t>
      </w:r>
      <w:r>
        <w:rPr>
          <w:spacing w:val="-6"/>
          <w:sz w:val="24"/>
        </w:rPr>
        <w:t> </w:t>
      </w:r>
      <w:r>
        <w:rPr>
          <w:sz w:val="24"/>
        </w:rPr>
        <w:t>operation of the CII</w:t>
      </w:r>
      <w:r>
        <w:rPr>
          <w:spacing w:val="-1"/>
          <w:sz w:val="24"/>
        </w:rPr>
        <w:t> </w:t>
      </w:r>
      <w:r>
        <w:rPr>
          <w:sz w:val="24"/>
        </w:rPr>
        <w:t>activity.</w:t>
      </w:r>
    </w:p>
    <w:p>
      <w:pPr>
        <w:pStyle w:val="BodyText"/>
        <w:spacing w:before="10"/>
        <w:rPr>
          <w:sz w:val="20"/>
        </w:rPr>
      </w:pPr>
    </w:p>
    <w:p>
      <w:pPr>
        <w:pStyle w:val="ListParagraph"/>
        <w:numPr>
          <w:ilvl w:val="2"/>
          <w:numId w:val="15"/>
        </w:numPr>
        <w:tabs>
          <w:tab w:pos="1100" w:val="left" w:leader="none"/>
          <w:tab w:pos="1101" w:val="left" w:leader="none"/>
        </w:tabs>
        <w:spacing w:line="240" w:lineRule="auto" w:before="0" w:after="0"/>
        <w:ind w:left="1100" w:right="1124" w:hanging="821"/>
        <w:jc w:val="left"/>
        <w:rPr>
          <w:sz w:val="24"/>
        </w:rPr>
      </w:pPr>
      <w:r>
        <w:rPr>
          <w:sz w:val="24"/>
        </w:rPr>
        <w:t>All reports required by this Order and other information requested by the Los Angeles Water Board, State Water Board, or USEPA shall be signed by a person described in Standard Provisions – Reporting section 5.2.2 above, or by a duly authorized representative of that person. A person is a duly authorized representative only</w:t>
      </w:r>
      <w:r>
        <w:rPr>
          <w:spacing w:val="-1"/>
          <w:sz w:val="24"/>
        </w:rPr>
        <w:t> </w:t>
      </w:r>
      <w:r>
        <w:rPr>
          <w:sz w:val="24"/>
        </w:rPr>
        <w:t>if:</w:t>
      </w:r>
    </w:p>
    <w:p>
      <w:pPr>
        <w:pStyle w:val="BodyText"/>
        <w:spacing w:before="10"/>
        <w:rPr>
          <w:sz w:val="20"/>
        </w:rPr>
      </w:pPr>
    </w:p>
    <w:p>
      <w:pPr>
        <w:pStyle w:val="ListParagraph"/>
        <w:numPr>
          <w:ilvl w:val="3"/>
          <w:numId w:val="15"/>
        </w:numPr>
        <w:tabs>
          <w:tab w:pos="1358" w:val="left" w:leader="none"/>
          <w:tab w:pos="1359" w:val="left" w:leader="none"/>
        </w:tabs>
        <w:spacing w:line="240" w:lineRule="auto" w:before="0" w:after="0"/>
        <w:ind w:left="1360" w:right="1799" w:hanging="1080"/>
        <w:jc w:val="left"/>
        <w:rPr>
          <w:sz w:val="24"/>
        </w:rPr>
      </w:pPr>
      <w:r>
        <w:rPr>
          <w:sz w:val="24"/>
        </w:rPr>
        <w:t>The authorization is made in writing by a person described in Standard Provisions – Reporting section 5.2.2 above (40 CFR §</w:t>
      </w:r>
      <w:r>
        <w:rPr>
          <w:spacing w:val="-33"/>
          <w:sz w:val="24"/>
        </w:rPr>
        <w:t> </w:t>
      </w:r>
      <w:r>
        <w:rPr>
          <w:sz w:val="24"/>
        </w:rPr>
        <w:t>122.22(b)(1));</w:t>
      </w:r>
    </w:p>
    <w:p>
      <w:pPr>
        <w:spacing w:after="0" w:line="240" w:lineRule="auto"/>
        <w:jc w:val="left"/>
        <w:rPr>
          <w:sz w:val="24"/>
        </w:rPr>
        <w:sectPr>
          <w:headerReference w:type="default" r:id="rId44"/>
          <w:footerReference w:type="default" r:id="rId45"/>
          <w:pgSz w:w="12240" w:h="15840"/>
          <w:pgMar w:header="728" w:footer="788" w:top="1540" w:bottom="980" w:left="1160" w:right="420"/>
        </w:sectPr>
      </w:pPr>
    </w:p>
    <w:p>
      <w:pPr>
        <w:pStyle w:val="BodyText"/>
        <w:spacing w:before="11"/>
        <w:rPr>
          <w:sz w:val="15"/>
        </w:rPr>
      </w:pPr>
    </w:p>
    <w:p>
      <w:pPr>
        <w:pStyle w:val="ListParagraph"/>
        <w:numPr>
          <w:ilvl w:val="3"/>
          <w:numId w:val="15"/>
        </w:numPr>
        <w:tabs>
          <w:tab w:pos="1358" w:val="left" w:leader="none"/>
          <w:tab w:pos="1359" w:val="left" w:leader="none"/>
        </w:tabs>
        <w:spacing w:line="240" w:lineRule="auto" w:before="92" w:after="0"/>
        <w:ind w:left="1359" w:right="1200" w:hanging="1080"/>
        <w:jc w:val="left"/>
        <w:rPr>
          <w:sz w:val="24"/>
        </w:rPr>
      </w:pPr>
      <w:r>
        <w:rPr>
          <w:sz w:val="24"/>
        </w:rPr>
        <w:t>The authorization specifies either an individual or a position having responsibility for the overall operation of the regulated facility or activity such as the position of plant manager, operator of a well or a well field, superintendent, position of equivalent responsibility, or an individual or position having overall responsibility for environmental matters for the company. (A duly authorized representative may thus be either a named individual or any individual occupying a named position) (40 CFR § 122.22(b)(2));</w:t>
      </w:r>
      <w:r>
        <w:rPr>
          <w:spacing w:val="-1"/>
          <w:sz w:val="24"/>
        </w:rPr>
        <w:t> </w:t>
      </w:r>
      <w:r>
        <w:rPr>
          <w:sz w:val="24"/>
        </w:rPr>
        <w:t>and</w:t>
      </w:r>
    </w:p>
    <w:p>
      <w:pPr>
        <w:pStyle w:val="BodyText"/>
        <w:spacing w:before="10"/>
        <w:rPr>
          <w:sz w:val="20"/>
        </w:rPr>
      </w:pPr>
    </w:p>
    <w:p>
      <w:pPr>
        <w:pStyle w:val="ListParagraph"/>
        <w:numPr>
          <w:ilvl w:val="3"/>
          <w:numId w:val="15"/>
        </w:numPr>
        <w:tabs>
          <w:tab w:pos="1358" w:val="left" w:leader="none"/>
          <w:tab w:pos="1359" w:val="left" w:leader="none"/>
        </w:tabs>
        <w:spacing w:line="240" w:lineRule="auto" w:before="0" w:after="0"/>
        <w:ind w:left="1360" w:right="1388" w:hanging="1080"/>
        <w:jc w:val="left"/>
        <w:rPr>
          <w:sz w:val="24"/>
        </w:rPr>
      </w:pPr>
      <w:r>
        <w:rPr>
          <w:sz w:val="24"/>
        </w:rPr>
        <w:t>The written authorization is submitted to the Los Angeles Water Board and State Water Board via SMARTS. (40 CFR §</w:t>
      </w:r>
      <w:r>
        <w:rPr>
          <w:spacing w:val="-9"/>
          <w:sz w:val="24"/>
        </w:rPr>
        <w:t> </w:t>
      </w:r>
      <w:r>
        <w:rPr>
          <w:sz w:val="24"/>
        </w:rPr>
        <w:t>122.22(b)(3))</w:t>
      </w:r>
    </w:p>
    <w:p>
      <w:pPr>
        <w:pStyle w:val="BodyText"/>
        <w:spacing w:before="10"/>
        <w:rPr>
          <w:sz w:val="20"/>
        </w:rPr>
      </w:pPr>
    </w:p>
    <w:p>
      <w:pPr>
        <w:pStyle w:val="ListParagraph"/>
        <w:numPr>
          <w:ilvl w:val="2"/>
          <w:numId w:val="15"/>
        </w:numPr>
        <w:tabs>
          <w:tab w:pos="1100" w:val="left" w:leader="none"/>
          <w:tab w:pos="1101" w:val="left" w:leader="none"/>
        </w:tabs>
        <w:spacing w:line="240" w:lineRule="auto" w:before="1" w:after="0"/>
        <w:ind w:left="1100" w:right="1060" w:hanging="821"/>
        <w:jc w:val="left"/>
        <w:rPr>
          <w:sz w:val="24"/>
        </w:rPr>
      </w:pPr>
      <w:r>
        <w:rPr>
          <w:sz w:val="24"/>
        </w:rPr>
        <w:t>If</w:t>
      </w:r>
      <w:r>
        <w:rPr>
          <w:spacing w:val="-5"/>
          <w:sz w:val="24"/>
        </w:rPr>
        <w:t> </w:t>
      </w:r>
      <w:r>
        <w:rPr>
          <w:sz w:val="24"/>
        </w:rPr>
        <w:t>an</w:t>
      </w:r>
      <w:r>
        <w:rPr>
          <w:spacing w:val="-5"/>
          <w:sz w:val="24"/>
        </w:rPr>
        <w:t> </w:t>
      </w:r>
      <w:r>
        <w:rPr>
          <w:sz w:val="24"/>
        </w:rPr>
        <w:t>authorization</w:t>
      </w:r>
      <w:r>
        <w:rPr>
          <w:spacing w:val="-5"/>
          <w:sz w:val="24"/>
        </w:rPr>
        <w:t> </w:t>
      </w:r>
      <w:r>
        <w:rPr>
          <w:sz w:val="24"/>
        </w:rPr>
        <w:t>under</w:t>
      </w:r>
      <w:r>
        <w:rPr>
          <w:spacing w:val="-3"/>
          <w:sz w:val="24"/>
        </w:rPr>
        <w:t> </w:t>
      </w:r>
      <w:r>
        <w:rPr>
          <w:sz w:val="24"/>
        </w:rPr>
        <w:t>Standard</w:t>
      </w:r>
      <w:r>
        <w:rPr>
          <w:spacing w:val="-5"/>
          <w:sz w:val="24"/>
        </w:rPr>
        <w:t> </w:t>
      </w:r>
      <w:r>
        <w:rPr>
          <w:sz w:val="24"/>
        </w:rPr>
        <w:t>Provisions</w:t>
      </w:r>
      <w:r>
        <w:rPr>
          <w:spacing w:val="-5"/>
          <w:sz w:val="24"/>
        </w:rPr>
        <w:t> </w:t>
      </w:r>
      <w:r>
        <w:rPr>
          <w:sz w:val="24"/>
        </w:rPr>
        <w:t>–</w:t>
      </w:r>
      <w:r>
        <w:rPr>
          <w:spacing w:val="-5"/>
          <w:sz w:val="24"/>
        </w:rPr>
        <w:t> </w:t>
      </w:r>
      <w:r>
        <w:rPr>
          <w:sz w:val="24"/>
        </w:rPr>
        <w:t>Reporting</w:t>
      </w:r>
      <w:r>
        <w:rPr>
          <w:spacing w:val="-5"/>
          <w:sz w:val="24"/>
        </w:rPr>
        <w:t> </w:t>
      </w:r>
      <w:r>
        <w:rPr>
          <w:sz w:val="24"/>
        </w:rPr>
        <w:t>section</w:t>
      </w:r>
      <w:r>
        <w:rPr>
          <w:spacing w:val="-5"/>
          <w:sz w:val="24"/>
        </w:rPr>
        <w:t> </w:t>
      </w:r>
      <w:r>
        <w:rPr>
          <w:sz w:val="24"/>
        </w:rPr>
        <w:t>5.2.3</w:t>
      </w:r>
      <w:r>
        <w:rPr>
          <w:spacing w:val="-4"/>
          <w:sz w:val="24"/>
        </w:rPr>
        <w:t> </w:t>
      </w:r>
      <w:r>
        <w:rPr>
          <w:sz w:val="24"/>
        </w:rPr>
        <w:t>above</w:t>
      </w:r>
      <w:r>
        <w:rPr>
          <w:spacing w:val="-5"/>
          <w:sz w:val="24"/>
        </w:rPr>
        <w:t> </w:t>
      </w:r>
      <w:r>
        <w:rPr>
          <w:sz w:val="24"/>
        </w:rPr>
        <w:t>is no longer accurate because a different individual or position has responsibility for the overall operation of the facility, a new authorization satisfying the requirements of Standard Provisions – Reporting section 5.2.3 above must be submitted to the Los Angeles Water Board and State Water Board prior to or together with any reports, information, or applications, to be signed by an authorized representative. (40 CFR §</w:t>
      </w:r>
      <w:r>
        <w:rPr>
          <w:spacing w:val="-1"/>
          <w:sz w:val="24"/>
        </w:rPr>
        <w:t> </w:t>
      </w:r>
      <w:r>
        <w:rPr>
          <w:sz w:val="24"/>
        </w:rPr>
        <w:t>122.22(c))</w:t>
      </w:r>
    </w:p>
    <w:p>
      <w:pPr>
        <w:pStyle w:val="BodyText"/>
        <w:spacing w:before="10"/>
        <w:rPr>
          <w:sz w:val="20"/>
        </w:rPr>
      </w:pPr>
    </w:p>
    <w:p>
      <w:pPr>
        <w:pStyle w:val="ListParagraph"/>
        <w:numPr>
          <w:ilvl w:val="2"/>
          <w:numId w:val="15"/>
        </w:numPr>
        <w:tabs>
          <w:tab w:pos="1100" w:val="left" w:leader="none"/>
          <w:tab w:pos="1101" w:val="left" w:leader="none"/>
        </w:tabs>
        <w:spacing w:line="240" w:lineRule="auto" w:before="0" w:after="0"/>
        <w:ind w:left="1100" w:right="0" w:hanging="821"/>
        <w:jc w:val="left"/>
        <w:rPr>
          <w:sz w:val="24"/>
        </w:rPr>
      </w:pPr>
      <w:r>
        <w:rPr>
          <w:sz w:val="24"/>
        </w:rPr>
        <w:t>Any person signing a document under Standard Provisions – Reporting</w:t>
      </w:r>
      <w:r>
        <w:rPr>
          <w:spacing w:val="-22"/>
          <w:sz w:val="24"/>
        </w:rPr>
        <w:t> </w:t>
      </w:r>
      <w:r>
        <w:rPr>
          <w:sz w:val="24"/>
        </w:rPr>
        <w:t>sections</w:t>
      </w:r>
    </w:p>
    <w:p>
      <w:pPr>
        <w:pStyle w:val="BodyText"/>
        <w:ind w:left="1100"/>
      </w:pPr>
      <w:r>
        <w:rPr/>
        <w:t>5.2.2 or 5.2.3 above shall make the following certification:</w:t>
      </w:r>
    </w:p>
    <w:p>
      <w:pPr>
        <w:pStyle w:val="BodyText"/>
      </w:pPr>
    </w:p>
    <w:p>
      <w:pPr>
        <w:pStyle w:val="BodyText"/>
        <w:ind w:left="1100" w:right="1441"/>
      </w:pPr>
      <w:r>
        <w:rPr/>
        <w:t>“I certify under penalty of law that this document and all attachments were prepared under my direction or supervision in accordance with a system designed to assure that qualified personnel properly gather and evaluate the information submitted. Based on my inquiry of the person or persons who manage the system or those persons directly responsible for gathering the information, the information submitted is, to the best of my knowledge and belief, true, accurate, and complete. I am aware that there are significant penalties for submitting false information, including the possibility of fine and imprisonment for knowing violations.” (40 CFR § 122.22(d))</w:t>
      </w:r>
    </w:p>
    <w:p>
      <w:pPr>
        <w:pStyle w:val="BodyText"/>
        <w:spacing w:before="9"/>
        <w:rPr>
          <w:sz w:val="20"/>
        </w:rPr>
      </w:pPr>
    </w:p>
    <w:p>
      <w:pPr>
        <w:pStyle w:val="ListParagraph"/>
        <w:numPr>
          <w:ilvl w:val="2"/>
          <w:numId w:val="15"/>
        </w:numPr>
        <w:tabs>
          <w:tab w:pos="1100" w:val="left" w:leader="none"/>
          <w:tab w:pos="1101" w:val="left" w:leader="none"/>
        </w:tabs>
        <w:spacing w:line="240" w:lineRule="auto" w:before="0" w:after="0"/>
        <w:ind w:left="1100" w:right="1073" w:hanging="821"/>
        <w:jc w:val="left"/>
        <w:rPr>
          <w:sz w:val="24"/>
        </w:rPr>
      </w:pPr>
      <w:r>
        <w:rPr>
          <w:sz w:val="24"/>
        </w:rPr>
        <w:t>Any person providing the electronic signature for documents described in Standard Provisions – sections 5.2.1, 5.2.2, or 5.2.3 that are submitted electronically shall meet all relevant requirements of Standard Provisions – Reporting section 5.2, and shall ensure that all relevant requirements of 40 CFR part 3 (Cross-Media Electronic Reporting) and 40 CFR part 127 (NPDES Electronic Reporting Requirements) are met for that submission. (40 C.F.R § 122.22(e))</w:t>
      </w:r>
    </w:p>
    <w:p>
      <w:pPr>
        <w:pStyle w:val="BodyText"/>
        <w:spacing w:before="10"/>
        <w:rPr>
          <w:sz w:val="20"/>
        </w:rPr>
      </w:pPr>
    </w:p>
    <w:p>
      <w:pPr>
        <w:pStyle w:val="Heading1"/>
        <w:numPr>
          <w:ilvl w:val="1"/>
          <w:numId w:val="16"/>
        </w:numPr>
        <w:tabs>
          <w:tab w:pos="871" w:val="left" w:leader="none"/>
        </w:tabs>
        <w:spacing w:line="240" w:lineRule="auto" w:before="0" w:after="0"/>
        <w:ind w:left="870" w:right="0" w:hanging="591"/>
        <w:jc w:val="left"/>
      </w:pPr>
      <w:r>
        <w:rPr/>
        <w:t>Monitoring</w:t>
      </w:r>
      <w:r>
        <w:rPr>
          <w:spacing w:val="-1"/>
        </w:rPr>
        <w:t> </w:t>
      </w:r>
      <w:r>
        <w:rPr/>
        <w:t>Reports.</w:t>
      </w:r>
    </w:p>
    <w:p>
      <w:pPr>
        <w:pStyle w:val="BodyText"/>
        <w:spacing w:before="10"/>
        <w:rPr>
          <w:b/>
          <w:sz w:val="20"/>
        </w:rPr>
      </w:pPr>
    </w:p>
    <w:p>
      <w:pPr>
        <w:pStyle w:val="ListParagraph"/>
        <w:numPr>
          <w:ilvl w:val="2"/>
          <w:numId w:val="16"/>
        </w:numPr>
        <w:tabs>
          <w:tab w:pos="1100" w:val="left" w:leader="none"/>
          <w:tab w:pos="1101" w:val="left" w:leader="none"/>
        </w:tabs>
        <w:spacing w:line="240" w:lineRule="auto" w:before="0" w:after="0"/>
        <w:ind w:left="1100" w:right="1328" w:hanging="821"/>
        <w:jc w:val="left"/>
        <w:rPr>
          <w:sz w:val="24"/>
        </w:rPr>
      </w:pPr>
      <w:r>
        <w:rPr>
          <w:sz w:val="24"/>
        </w:rPr>
        <w:t>Monitoring</w:t>
      </w:r>
      <w:r>
        <w:rPr>
          <w:spacing w:val="-5"/>
          <w:sz w:val="24"/>
        </w:rPr>
        <w:t> </w:t>
      </w:r>
      <w:r>
        <w:rPr>
          <w:sz w:val="24"/>
        </w:rPr>
        <w:t>results</w:t>
      </w:r>
      <w:r>
        <w:rPr>
          <w:spacing w:val="-5"/>
          <w:sz w:val="24"/>
        </w:rPr>
        <w:t> </w:t>
      </w:r>
      <w:r>
        <w:rPr>
          <w:sz w:val="24"/>
        </w:rPr>
        <w:t>shall</w:t>
      </w:r>
      <w:r>
        <w:rPr>
          <w:spacing w:val="-5"/>
          <w:sz w:val="24"/>
        </w:rPr>
        <w:t> </w:t>
      </w:r>
      <w:r>
        <w:rPr>
          <w:sz w:val="24"/>
        </w:rPr>
        <w:t>be</w:t>
      </w:r>
      <w:r>
        <w:rPr>
          <w:spacing w:val="-5"/>
          <w:sz w:val="24"/>
        </w:rPr>
        <w:t> </w:t>
      </w:r>
      <w:r>
        <w:rPr>
          <w:sz w:val="24"/>
        </w:rPr>
        <w:t>reported</w:t>
      </w:r>
      <w:r>
        <w:rPr>
          <w:spacing w:val="-5"/>
          <w:sz w:val="24"/>
        </w:rPr>
        <w:t> </w:t>
      </w:r>
      <w:r>
        <w:rPr>
          <w:sz w:val="24"/>
        </w:rPr>
        <w:t>at</w:t>
      </w:r>
      <w:r>
        <w:rPr>
          <w:spacing w:val="-3"/>
          <w:sz w:val="24"/>
        </w:rPr>
        <w:t> </w:t>
      </w:r>
      <w:r>
        <w:rPr>
          <w:sz w:val="24"/>
        </w:rPr>
        <w:t>the</w:t>
      </w:r>
      <w:r>
        <w:rPr>
          <w:spacing w:val="-5"/>
          <w:sz w:val="24"/>
        </w:rPr>
        <w:t> </w:t>
      </w:r>
      <w:r>
        <w:rPr>
          <w:sz w:val="24"/>
        </w:rPr>
        <w:t>intervals</w:t>
      </w:r>
      <w:r>
        <w:rPr>
          <w:spacing w:val="-5"/>
          <w:sz w:val="24"/>
        </w:rPr>
        <w:t> </w:t>
      </w:r>
      <w:r>
        <w:rPr>
          <w:sz w:val="24"/>
        </w:rPr>
        <w:t>specified</w:t>
      </w:r>
      <w:r>
        <w:rPr>
          <w:spacing w:val="-5"/>
          <w:sz w:val="24"/>
        </w:rPr>
        <w:t> </w:t>
      </w:r>
      <w:r>
        <w:rPr>
          <w:sz w:val="24"/>
        </w:rPr>
        <w:t>in</w:t>
      </w:r>
      <w:r>
        <w:rPr>
          <w:spacing w:val="-5"/>
          <w:sz w:val="24"/>
        </w:rPr>
        <w:t> </w:t>
      </w:r>
      <w:r>
        <w:rPr>
          <w:sz w:val="24"/>
        </w:rPr>
        <w:t>the</w:t>
      </w:r>
      <w:r>
        <w:rPr>
          <w:spacing w:val="-5"/>
          <w:sz w:val="24"/>
        </w:rPr>
        <w:t> </w:t>
      </w:r>
      <w:r>
        <w:rPr>
          <w:sz w:val="24"/>
        </w:rPr>
        <w:t>Monitoring and Reporting Program (Attachment E) in this Order. (40 CFR §</w:t>
      </w:r>
      <w:r>
        <w:rPr>
          <w:spacing w:val="-39"/>
          <w:sz w:val="24"/>
        </w:rPr>
        <w:t> </w:t>
      </w:r>
      <w:r>
        <w:rPr>
          <w:sz w:val="24"/>
        </w:rPr>
        <w:t>122.41(l)(4))</w:t>
      </w:r>
    </w:p>
    <w:p>
      <w:pPr>
        <w:spacing w:after="0" w:line="240" w:lineRule="auto"/>
        <w:jc w:val="left"/>
        <w:rPr>
          <w:sz w:val="24"/>
        </w:rPr>
        <w:sectPr>
          <w:headerReference w:type="default" r:id="rId46"/>
          <w:footerReference w:type="default" r:id="rId47"/>
          <w:pgSz w:w="12240" w:h="15840"/>
          <w:pgMar w:header="728" w:footer="788" w:top="1540" w:bottom="980" w:left="1160" w:right="420"/>
        </w:sectPr>
      </w:pPr>
    </w:p>
    <w:p>
      <w:pPr>
        <w:pStyle w:val="BodyText"/>
        <w:spacing w:before="11"/>
        <w:rPr>
          <w:sz w:val="15"/>
        </w:rPr>
      </w:pPr>
    </w:p>
    <w:p>
      <w:pPr>
        <w:pStyle w:val="ListParagraph"/>
        <w:numPr>
          <w:ilvl w:val="2"/>
          <w:numId w:val="16"/>
        </w:numPr>
        <w:tabs>
          <w:tab w:pos="1100" w:val="left" w:leader="none"/>
          <w:tab w:pos="1101" w:val="left" w:leader="none"/>
        </w:tabs>
        <w:spacing w:line="240" w:lineRule="auto" w:before="92" w:after="0"/>
        <w:ind w:left="1100" w:right="1285" w:hanging="821"/>
        <w:jc w:val="left"/>
        <w:rPr>
          <w:sz w:val="24"/>
        </w:rPr>
      </w:pPr>
      <w:r>
        <w:rPr>
          <w:sz w:val="24"/>
        </w:rPr>
        <w:t>Monitoring results must be reported on a Discharge Monitoring Report form or forms provided or specified by the Los Angeles Water Board or State Water Board for reporting results of monitoring. As of December 21, 2016, all reports and forms must be submitted electronically to the initial recipient defined in Standard Provisions – Reporting section 5.10 and comply with 40 CFR part 3, 40 CFR section 122.22, and 40 CFR part 127. (40 CFR §</w:t>
      </w:r>
      <w:r>
        <w:rPr>
          <w:spacing w:val="-24"/>
          <w:sz w:val="24"/>
        </w:rPr>
        <w:t> </w:t>
      </w:r>
      <w:r>
        <w:rPr>
          <w:sz w:val="24"/>
        </w:rPr>
        <w:t>122.41(l)(4)(i))</w:t>
      </w:r>
    </w:p>
    <w:p>
      <w:pPr>
        <w:pStyle w:val="BodyText"/>
        <w:spacing w:before="10"/>
        <w:rPr>
          <w:sz w:val="20"/>
        </w:rPr>
      </w:pPr>
    </w:p>
    <w:p>
      <w:pPr>
        <w:pStyle w:val="ListParagraph"/>
        <w:numPr>
          <w:ilvl w:val="2"/>
          <w:numId w:val="16"/>
        </w:numPr>
        <w:tabs>
          <w:tab w:pos="1100" w:val="left" w:leader="none"/>
          <w:tab w:pos="1101" w:val="left" w:leader="none"/>
        </w:tabs>
        <w:spacing w:line="240" w:lineRule="auto" w:before="0" w:after="0"/>
        <w:ind w:left="1100" w:right="1087" w:hanging="821"/>
        <w:jc w:val="left"/>
        <w:rPr>
          <w:sz w:val="24"/>
        </w:rPr>
      </w:pPr>
      <w:r>
        <w:rPr>
          <w:sz w:val="24"/>
        </w:rPr>
        <w:t>If the Discharger monitors any pollutant more frequently than required by this Order using test procedures approved under 40 CFR part 136, or another method required for an industry-specific waste stream under 40 CFR Chapter 1, Subchapters N or O, the results of such monitoring shall be included in the calculation and reporting of the data submitted in the Discharge Monitoring Report or sludge reporting form specified by the Los Angeles Water Board or State Water Board. (40 CFR §</w:t>
      </w:r>
      <w:r>
        <w:rPr>
          <w:spacing w:val="-4"/>
          <w:sz w:val="24"/>
        </w:rPr>
        <w:t> </w:t>
      </w:r>
      <w:r>
        <w:rPr>
          <w:sz w:val="24"/>
        </w:rPr>
        <w:t>122.41(l)(4)(ii))</w:t>
      </w:r>
    </w:p>
    <w:p>
      <w:pPr>
        <w:pStyle w:val="BodyText"/>
        <w:spacing w:before="10"/>
        <w:rPr>
          <w:sz w:val="20"/>
        </w:rPr>
      </w:pPr>
    </w:p>
    <w:p>
      <w:pPr>
        <w:pStyle w:val="ListParagraph"/>
        <w:numPr>
          <w:ilvl w:val="2"/>
          <w:numId w:val="16"/>
        </w:numPr>
        <w:tabs>
          <w:tab w:pos="1100" w:val="left" w:leader="none"/>
          <w:tab w:pos="1101" w:val="left" w:leader="none"/>
        </w:tabs>
        <w:spacing w:line="240" w:lineRule="auto" w:before="1" w:after="0"/>
        <w:ind w:left="1100" w:right="1234" w:hanging="821"/>
        <w:jc w:val="left"/>
        <w:rPr>
          <w:sz w:val="24"/>
        </w:rPr>
      </w:pPr>
      <w:r>
        <w:rPr>
          <w:sz w:val="24"/>
        </w:rPr>
        <w:t>Calculations for all limitations, which require averaging of measurements, shall utilize an arithmetic mean unless otherwise specified in this Order. (40 CFR § 122.41(l)(4)(iii))</w:t>
      </w:r>
    </w:p>
    <w:p>
      <w:pPr>
        <w:pStyle w:val="BodyText"/>
        <w:spacing w:before="9"/>
        <w:rPr>
          <w:sz w:val="20"/>
        </w:rPr>
      </w:pPr>
    </w:p>
    <w:p>
      <w:pPr>
        <w:pStyle w:val="Heading1"/>
        <w:numPr>
          <w:ilvl w:val="1"/>
          <w:numId w:val="16"/>
        </w:numPr>
        <w:tabs>
          <w:tab w:pos="871" w:val="left" w:leader="none"/>
        </w:tabs>
        <w:spacing w:line="240" w:lineRule="auto" w:before="1" w:after="0"/>
        <w:ind w:left="870" w:right="0" w:hanging="592"/>
        <w:jc w:val="left"/>
      </w:pPr>
      <w:r>
        <w:rPr/>
        <w:t>Compliance</w:t>
      </w:r>
      <w:r>
        <w:rPr>
          <w:spacing w:val="-1"/>
        </w:rPr>
        <w:t> </w:t>
      </w:r>
      <w:r>
        <w:rPr/>
        <w:t>Schedules.</w:t>
      </w:r>
    </w:p>
    <w:p>
      <w:pPr>
        <w:pStyle w:val="BodyText"/>
        <w:rPr>
          <w:b/>
        </w:rPr>
      </w:pPr>
    </w:p>
    <w:p>
      <w:pPr>
        <w:pStyle w:val="BodyText"/>
        <w:ind w:left="870" w:right="1126"/>
      </w:pPr>
      <w:r>
        <w:rPr/>
        <w:t>Reports of compliance or noncompliance with, or any progress reports on, interim and final requirements contained in any compliance schedule of this Order, shall be submitted no later than 14 days following each schedule date. (40 CFR § 122.41(l)(5))</w:t>
      </w:r>
    </w:p>
    <w:p>
      <w:pPr>
        <w:pStyle w:val="BodyText"/>
        <w:spacing w:before="8"/>
        <w:rPr>
          <w:sz w:val="20"/>
        </w:rPr>
      </w:pPr>
    </w:p>
    <w:p>
      <w:pPr>
        <w:pStyle w:val="Heading1"/>
        <w:numPr>
          <w:ilvl w:val="1"/>
          <w:numId w:val="16"/>
        </w:numPr>
        <w:tabs>
          <w:tab w:pos="871" w:val="left" w:leader="none"/>
        </w:tabs>
        <w:spacing w:line="240" w:lineRule="auto" w:before="1" w:after="0"/>
        <w:ind w:left="870" w:right="0" w:hanging="592"/>
        <w:jc w:val="left"/>
      </w:pPr>
      <w:r>
        <w:rPr/>
        <w:t>Twenty-Four Hour</w:t>
      </w:r>
      <w:r>
        <w:rPr>
          <w:spacing w:val="-1"/>
        </w:rPr>
        <w:t> </w:t>
      </w:r>
      <w:r>
        <w:rPr/>
        <w:t>Reporting.</w:t>
      </w:r>
    </w:p>
    <w:p>
      <w:pPr>
        <w:pStyle w:val="BodyText"/>
        <w:spacing w:before="9"/>
        <w:rPr>
          <w:b/>
          <w:sz w:val="20"/>
        </w:rPr>
      </w:pPr>
    </w:p>
    <w:p>
      <w:pPr>
        <w:pStyle w:val="ListParagraph"/>
        <w:numPr>
          <w:ilvl w:val="2"/>
          <w:numId w:val="16"/>
        </w:numPr>
        <w:tabs>
          <w:tab w:pos="1100" w:val="left" w:leader="none"/>
          <w:tab w:pos="1101" w:val="left" w:leader="none"/>
        </w:tabs>
        <w:spacing w:line="240" w:lineRule="auto" w:before="1" w:after="0"/>
        <w:ind w:left="1100" w:right="1102" w:hanging="821"/>
        <w:jc w:val="left"/>
        <w:rPr>
          <w:sz w:val="24"/>
        </w:rPr>
      </w:pPr>
      <w:r>
        <w:rPr>
          <w:sz w:val="24"/>
        </w:rPr>
        <w:t>The Discharger shall report any noncompliance which may endanger health or the environment. Any information shall be provided orally within 24 hours from the time the Discharger becomes aware of the circumstances. A written submission shall also be provided within five (5) days of the time the</w:t>
      </w:r>
      <w:r>
        <w:rPr>
          <w:spacing w:val="-44"/>
          <w:sz w:val="24"/>
        </w:rPr>
        <w:t> </w:t>
      </w:r>
      <w:r>
        <w:rPr>
          <w:sz w:val="24"/>
        </w:rPr>
        <w:t>Discharger becomes aware of the circumstances. The written submission shall contain a description of the noncompliance and its cause; the period of noncompliance, including exact dates and times, and if the noncompliance has not been corrected, the anticipated time it is expected to continue; and steps taken or planned to reduce, eliminate, and prevent reoccurrence of the</w:t>
      </w:r>
      <w:r>
        <w:rPr>
          <w:spacing w:val="-40"/>
          <w:sz w:val="24"/>
        </w:rPr>
        <w:t> </w:t>
      </w:r>
      <w:r>
        <w:rPr>
          <w:sz w:val="24"/>
        </w:rPr>
        <w:t>noncompliance.</w:t>
      </w:r>
    </w:p>
    <w:p>
      <w:pPr>
        <w:pStyle w:val="BodyText"/>
        <w:spacing w:before="10"/>
        <w:rPr>
          <w:sz w:val="20"/>
        </w:rPr>
      </w:pPr>
    </w:p>
    <w:p>
      <w:pPr>
        <w:pStyle w:val="ListParagraph"/>
        <w:numPr>
          <w:ilvl w:val="3"/>
          <w:numId w:val="16"/>
        </w:numPr>
        <w:tabs>
          <w:tab w:pos="1358" w:val="left" w:leader="none"/>
          <w:tab w:pos="1359" w:val="left" w:leader="none"/>
        </w:tabs>
        <w:spacing w:line="240" w:lineRule="auto" w:before="0" w:after="0"/>
        <w:ind w:left="1359" w:right="1092" w:hanging="1080"/>
        <w:jc w:val="left"/>
        <w:rPr>
          <w:sz w:val="24"/>
        </w:rPr>
      </w:pPr>
      <w:r>
        <w:rPr>
          <w:sz w:val="24"/>
        </w:rPr>
        <w:t>For noncompliance events related to combined sewer overflows, sanitary sewer overflows, or bypass events, these reports must include the data described above (with the exception of time of discovery) as well as the type of event (i.e., combined sewer overflow, sanitary sewer overflow, or bypass event), type of overflow structure (e.g., manhole, combined sewer overflow outfall), discharge volume untreated by the treatment works treating domestic sewage, types of human health and environmental impacts of the event, and whether the noncompliance was related to wet</w:t>
      </w:r>
      <w:r>
        <w:rPr>
          <w:spacing w:val="-6"/>
          <w:sz w:val="24"/>
        </w:rPr>
        <w:t> </w:t>
      </w:r>
      <w:r>
        <w:rPr>
          <w:sz w:val="24"/>
        </w:rPr>
        <w:t>weather.</w:t>
      </w:r>
    </w:p>
    <w:p>
      <w:pPr>
        <w:spacing w:after="0" w:line="240" w:lineRule="auto"/>
        <w:jc w:val="left"/>
        <w:rPr>
          <w:sz w:val="24"/>
        </w:rPr>
        <w:sectPr>
          <w:headerReference w:type="default" r:id="rId48"/>
          <w:footerReference w:type="default" r:id="rId49"/>
          <w:pgSz w:w="12240" w:h="15840"/>
          <w:pgMar w:header="728" w:footer="788" w:top="1540" w:bottom="980" w:left="1160" w:right="420"/>
        </w:sectPr>
      </w:pPr>
    </w:p>
    <w:p>
      <w:pPr>
        <w:pStyle w:val="BodyText"/>
        <w:spacing w:before="11"/>
        <w:rPr>
          <w:sz w:val="15"/>
        </w:rPr>
      </w:pPr>
    </w:p>
    <w:p>
      <w:pPr>
        <w:pStyle w:val="ListParagraph"/>
        <w:numPr>
          <w:ilvl w:val="3"/>
          <w:numId w:val="16"/>
        </w:numPr>
        <w:tabs>
          <w:tab w:pos="1359" w:val="left" w:leader="none"/>
          <w:tab w:pos="1360" w:val="left" w:leader="none"/>
        </w:tabs>
        <w:spacing w:line="240" w:lineRule="auto" w:before="92" w:after="0"/>
        <w:ind w:left="1359" w:right="1042" w:hanging="1080"/>
        <w:jc w:val="left"/>
        <w:rPr>
          <w:sz w:val="24"/>
        </w:rPr>
      </w:pPr>
      <w:r>
        <w:rPr>
          <w:sz w:val="24"/>
        </w:rPr>
        <w:t>As of December 21, 2023, all reports related to combined sewer overflows, sanitary sewer overflows, or bypass events must be submitted electronically to the initial recipient defined in Standard Provisions – Reporting section 5.10. The reports shall comply with 40 CFR part 3, 40 CFR section 122.22, and 40 CFR part 127. The Los Angeles Water Board may also require the</w:t>
      </w:r>
      <w:r>
        <w:rPr>
          <w:spacing w:val="-43"/>
          <w:sz w:val="24"/>
        </w:rPr>
        <w:t> </w:t>
      </w:r>
      <w:r>
        <w:rPr>
          <w:sz w:val="24"/>
        </w:rPr>
        <w:t>Discharger to electronically submit reports not related to combined sewer overflows, sanitary sewer overflows, or bypass events under this section. (40 CFR § 122.41(l)(6)(i))</w:t>
      </w:r>
    </w:p>
    <w:p>
      <w:pPr>
        <w:pStyle w:val="BodyText"/>
        <w:spacing w:before="10"/>
        <w:rPr>
          <w:sz w:val="20"/>
        </w:rPr>
      </w:pPr>
    </w:p>
    <w:p>
      <w:pPr>
        <w:pStyle w:val="ListParagraph"/>
        <w:numPr>
          <w:ilvl w:val="2"/>
          <w:numId w:val="16"/>
        </w:numPr>
        <w:tabs>
          <w:tab w:pos="1099" w:val="left" w:leader="none"/>
          <w:tab w:pos="1100" w:val="left" w:leader="none"/>
        </w:tabs>
        <w:spacing w:line="240" w:lineRule="auto" w:before="0" w:after="0"/>
        <w:ind w:left="1100" w:right="1356" w:hanging="821"/>
        <w:jc w:val="left"/>
        <w:rPr>
          <w:sz w:val="24"/>
        </w:rPr>
      </w:pPr>
      <w:r>
        <w:rPr>
          <w:sz w:val="24"/>
        </w:rPr>
        <w:t>The</w:t>
      </w:r>
      <w:r>
        <w:rPr>
          <w:spacing w:val="-5"/>
          <w:sz w:val="24"/>
        </w:rPr>
        <w:t> </w:t>
      </w:r>
      <w:r>
        <w:rPr>
          <w:sz w:val="24"/>
        </w:rPr>
        <w:t>following</w:t>
      </w:r>
      <w:r>
        <w:rPr>
          <w:spacing w:val="-4"/>
          <w:sz w:val="24"/>
        </w:rPr>
        <w:t> </w:t>
      </w:r>
      <w:r>
        <w:rPr>
          <w:sz w:val="24"/>
        </w:rPr>
        <w:t>shall</w:t>
      </w:r>
      <w:r>
        <w:rPr>
          <w:spacing w:val="-4"/>
          <w:sz w:val="24"/>
        </w:rPr>
        <w:t> </w:t>
      </w:r>
      <w:r>
        <w:rPr>
          <w:sz w:val="24"/>
        </w:rPr>
        <w:t>be</w:t>
      </w:r>
      <w:r>
        <w:rPr>
          <w:spacing w:val="-4"/>
          <w:sz w:val="24"/>
        </w:rPr>
        <w:t> </w:t>
      </w:r>
      <w:r>
        <w:rPr>
          <w:sz w:val="24"/>
        </w:rPr>
        <w:t>included</w:t>
      </w:r>
      <w:r>
        <w:rPr>
          <w:spacing w:val="-5"/>
          <w:sz w:val="24"/>
        </w:rPr>
        <w:t> </w:t>
      </w:r>
      <w:r>
        <w:rPr>
          <w:sz w:val="24"/>
        </w:rPr>
        <w:t>as</w:t>
      </w:r>
      <w:r>
        <w:rPr>
          <w:spacing w:val="-2"/>
          <w:sz w:val="24"/>
        </w:rPr>
        <w:t> </w:t>
      </w:r>
      <w:r>
        <w:rPr>
          <w:sz w:val="24"/>
        </w:rPr>
        <w:t>information</w:t>
      </w:r>
      <w:r>
        <w:rPr>
          <w:spacing w:val="-4"/>
          <w:sz w:val="24"/>
        </w:rPr>
        <w:t> </w:t>
      </w:r>
      <w:r>
        <w:rPr>
          <w:sz w:val="24"/>
        </w:rPr>
        <w:t>that</w:t>
      </w:r>
      <w:r>
        <w:rPr>
          <w:spacing w:val="-4"/>
          <w:sz w:val="24"/>
        </w:rPr>
        <w:t> </w:t>
      </w:r>
      <w:r>
        <w:rPr>
          <w:sz w:val="24"/>
        </w:rPr>
        <w:t>must</w:t>
      </w:r>
      <w:r>
        <w:rPr>
          <w:spacing w:val="-5"/>
          <w:sz w:val="24"/>
        </w:rPr>
        <w:t> </w:t>
      </w:r>
      <w:r>
        <w:rPr>
          <w:sz w:val="24"/>
        </w:rPr>
        <w:t>be</w:t>
      </w:r>
      <w:r>
        <w:rPr>
          <w:spacing w:val="-4"/>
          <w:sz w:val="24"/>
        </w:rPr>
        <w:t> </w:t>
      </w:r>
      <w:r>
        <w:rPr>
          <w:sz w:val="24"/>
        </w:rPr>
        <w:t>reported</w:t>
      </w:r>
      <w:r>
        <w:rPr>
          <w:spacing w:val="-4"/>
          <w:sz w:val="24"/>
        </w:rPr>
        <w:t> </w:t>
      </w:r>
      <w:r>
        <w:rPr>
          <w:sz w:val="24"/>
        </w:rPr>
        <w:t>within</w:t>
      </w:r>
      <w:r>
        <w:rPr>
          <w:spacing w:val="-4"/>
          <w:sz w:val="24"/>
        </w:rPr>
        <w:t> </w:t>
      </w:r>
      <w:r>
        <w:rPr>
          <w:sz w:val="24"/>
        </w:rPr>
        <w:t>24 hours under this paragraph (40 CFR §</w:t>
      </w:r>
      <w:r>
        <w:rPr>
          <w:spacing w:val="-6"/>
          <w:sz w:val="24"/>
        </w:rPr>
        <w:t> </w:t>
      </w:r>
      <w:r>
        <w:rPr>
          <w:sz w:val="24"/>
        </w:rPr>
        <w:t>122.41(l)(6)(ii)):</w:t>
      </w:r>
    </w:p>
    <w:p>
      <w:pPr>
        <w:pStyle w:val="BodyText"/>
        <w:spacing w:before="10"/>
        <w:rPr>
          <w:sz w:val="20"/>
        </w:rPr>
      </w:pPr>
    </w:p>
    <w:p>
      <w:pPr>
        <w:pStyle w:val="ListParagraph"/>
        <w:numPr>
          <w:ilvl w:val="3"/>
          <w:numId w:val="16"/>
        </w:numPr>
        <w:tabs>
          <w:tab w:pos="1359" w:val="left" w:leader="none"/>
          <w:tab w:pos="1360" w:val="left" w:leader="none"/>
        </w:tabs>
        <w:spacing w:line="240" w:lineRule="auto" w:before="1" w:after="0"/>
        <w:ind w:left="1359" w:right="1372" w:hanging="1080"/>
        <w:jc w:val="left"/>
        <w:rPr>
          <w:sz w:val="24"/>
        </w:rPr>
      </w:pPr>
      <w:r>
        <w:rPr>
          <w:sz w:val="24"/>
        </w:rPr>
        <w:t>Any unanticipated bypass that exceeds any effluent limitation in this Order. (40 CFR §</w:t>
      </w:r>
      <w:r>
        <w:rPr>
          <w:spacing w:val="-1"/>
          <w:sz w:val="24"/>
        </w:rPr>
        <w:t> </w:t>
      </w:r>
      <w:r>
        <w:rPr>
          <w:sz w:val="24"/>
        </w:rPr>
        <w:t>122.41(l)(6)(ii)(A))</w:t>
      </w:r>
    </w:p>
    <w:p>
      <w:pPr>
        <w:pStyle w:val="BodyText"/>
        <w:spacing w:before="9"/>
        <w:rPr>
          <w:sz w:val="20"/>
        </w:rPr>
      </w:pPr>
    </w:p>
    <w:p>
      <w:pPr>
        <w:pStyle w:val="ListParagraph"/>
        <w:numPr>
          <w:ilvl w:val="3"/>
          <w:numId w:val="16"/>
        </w:numPr>
        <w:tabs>
          <w:tab w:pos="1359" w:val="left" w:leader="none"/>
          <w:tab w:pos="1360" w:val="left" w:leader="none"/>
        </w:tabs>
        <w:spacing w:line="240" w:lineRule="auto" w:before="1" w:after="0"/>
        <w:ind w:left="1359" w:right="1867" w:hanging="1080"/>
        <w:jc w:val="left"/>
        <w:rPr>
          <w:sz w:val="24"/>
        </w:rPr>
      </w:pPr>
      <w:r>
        <w:rPr>
          <w:sz w:val="24"/>
        </w:rPr>
        <w:t>Any upset that exceeds any effluent limitation in this Order. (40 CFR § 122.41(l)(6)(ii)(B))</w:t>
      </w:r>
    </w:p>
    <w:p>
      <w:pPr>
        <w:pStyle w:val="BodyText"/>
        <w:spacing w:before="9"/>
        <w:rPr>
          <w:sz w:val="20"/>
        </w:rPr>
      </w:pPr>
    </w:p>
    <w:p>
      <w:pPr>
        <w:pStyle w:val="ListParagraph"/>
        <w:numPr>
          <w:ilvl w:val="2"/>
          <w:numId w:val="16"/>
        </w:numPr>
        <w:tabs>
          <w:tab w:pos="1100" w:val="left" w:leader="none"/>
          <w:tab w:pos="1101" w:val="left" w:leader="none"/>
        </w:tabs>
        <w:spacing w:line="240" w:lineRule="auto" w:before="1" w:after="0"/>
        <w:ind w:left="1100" w:right="1075" w:hanging="821"/>
        <w:jc w:val="left"/>
        <w:rPr>
          <w:sz w:val="24"/>
        </w:rPr>
      </w:pPr>
      <w:r>
        <w:rPr>
          <w:sz w:val="24"/>
        </w:rPr>
        <w:t>The Los Angeles Water Board may waive the above required written report on</w:t>
      </w:r>
      <w:r>
        <w:rPr>
          <w:spacing w:val="-47"/>
          <w:sz w:val="24"/>
        </w:rPr>
        <w:t> </w:t>
      </w:r>
      <w:r>
        <w:rPr>
          <w:sz w:val="24"/>
        </w:rPr>
        <w:t>a case-by-case basis if an oral report has been received within 24 hours. (40</w:t>
      </w:r>
      <w:r>
        <w:rPr>
          <w:spacing w:val="-37"/>
          <w:sz w:val="24"/>
        </w:rPr>
        <w:t> </w:t>
      </w:r>
      <w:r>
        <w:rPr>
          <w:sz w:val="24"/>
        </w:rPr>
        <w:t>CFR</w:t>
      </w:r>
    </w:p>
    <w:p>
      <w:pPr>
        <w:pStyle w:val="BodyText"/>
        <w:ind w:left="1100"/>
      </w:pPr>
      <w:r>
        <w:rPr/>
        <w:t>§ 122.41(l)(6)(ii)(B))</w:t>
      </w:r>
    </w:p>
    <w:p>
      <w:pPr>
        <w:pStyle w:val="BodyText"/>
        <w:spacing w:before="10"/>
        <w:rPr>
          <w:sz w:val="20"/>
        </w:rPr>
      </w:pPr>
    </w:p>
    <w:p>
      <w:pPr>
        <w:pStyle w:val="Heading1"/>
        <w:numPr>
          <w:ilvl w:val="1"/>
          <w:numId w:val="16"/>
        </w:numPr>
        <w:tabs>
          <w:tab w:pos="871" w:val="left" w:leader="none"/>
        </w:tabs>
        <w:spacing w:line="240" w:lineRule="auto" w:before="0" w:after="0"/>
        <w:ind w:left="870" w:right="0" w:hanging="592"/>
        <w:jc w:val="left"/>
      </w:pPr>
      <w:r>
        <w:rPr/>
        <w:t>Planned</w:t>
      </w:r>
      <w:r>
        <w:rPr>
          <w:spacing w:val="-1"/>
        </w:rPr>
        <w:t> </w:t>
      </w:r>
      <w:r>
        <w:rPr/>
        <w:t>Changes.</w:t>
      </w:r>
    </w:p>
    <w:p>
      <w:pPr>
        <w:pStyle w:val="BodyText"/>
        <w:rPr>
          <w:b/>
        </w:rPr>
      </w:pPr>
    </w:p>
    <w:p>
      <w:pPr>
        <w:pStyle w:val="BodyText"/>
        <w:ind w:left="870" w:right="1298"/>
      </w:pPr>
      <w:r>
        <w:rPr/>
        <w:t>The Discharger shall give notice to the Los Angeles Water Board as soon as possible of any planned physical alterations or additions to the Facility. Notice is required under this provision only when (40 CFR § 122.41(l)(1)):</w:t>
      </w:r>
    </w:p>
    <w:p>
      <w:pPr>
        <w:pStyle w:val="BodyText"/>
        <w:spacing w:before="8"/>
        <w:rPr>
          <w:sz w:val="20"/>
        </w:rPr>
      </w:pPr>
    </w:p>
    <w:p>
      <w:pPr>
        <w:pStyle w:val="ListParagraph"/>
        <w:numPr>
          <w:ilvl w:val="2"/>
          <w:numId w:val="16"/>
        </w:numPr>
        <w:tabs>
          <w:tab w:pos="1100" w:val="left" w:leader="none"/>
          <w:tab w:pos="1101" w:val="left" w:leader="none"/>
        </w:tabs>
        <w:spacing w:line="240" w:lineRule="auto" w:before="1" w:after="0"/>
        <w:ind w:left="1100" w:right="1234" w:hanging="821"/>
        <w:jc w:val="left"/>
        <w:rPr>
          <w:sz w:val="24"/>
        </w:rPr>
      </w:pPr>
      <w:r>
        <w:rPr>
          <w:sz w:val="24"/>
        </w:rPr>
        <w:t>The alteration or addition to a Facility may meet one of the criteria for determining whether a facility is a new source in 40 CFR section 122.29(b)</w:t>
      </w:r>
      <w:r>
        <w:rPr>
          <w:spacing w:val="-43"/>
          <w:sz w:val="24"/>
        </w:rPr>
        <w:t> </w:t>
      </w:r>
      <w:r>
        <w:rPr>
          <w:sz w:val="24"/>
        </w:rPr>
        <w:t>(40 CFR § 122.41(l)(1)(i));</w:t>
      </w:r>
      <w:r>
        <w:rPr>
          <w:spacing w:val="-1"/>
          <w:sz w:val="24"/>
        </w:rPr>
        <w:t> </w:t>
      </w:r>
      <w:r>
        <w:rPr>
          <w:sz w:val="24"/>
        </w:rPr>
        <w:t>or</w:t>
      </w:r>
    </w:p>
    <w:p>
      <w:pPr>
        <w:pStyle w:val="BodyText"/>
        <w:spacing w:before="10"/>
        <w:rPr>
          <w:sz w:val="20"/>
        </w:rPr>
      </w:pPr>
    </w:p>
    <w:p>
      <w:pPr>
        <w:pStyle w:val="ListParagraph"/>
        <w:numPr>
          <w:ilvl w:val="2"/>
          <w:numId w:val="16"/>
        </w:numPr>
        <w:tabs>
          <w:tab w:pos="1101" w:val="left" w:leader="none"/>
        </w:tabs>
        <w:spacing w:line="240" w:lineRule="auto" w:before="0" w:after="0"/>
        <w:ind w:left="1100" w:right="1245" w:hanging="821"/>
        <w:jc w:val="both"/>
        <w:rPr>
          <w:sz w:val="24"/>
        </w:rPr>
      </w:pPr>
      <w:r>
        <w:rPr>
          <w:sz w:val="24"/>
        </w:rPr>
        <w:t>The alteration or addition could significantly change the nature or increase the quantity of pollutants discharged. This notification applies to pollutants that are not subject to effluent limitations in this Order. (40 CFR §</w:t>
      </w:r>
      <w:r>
        <w:rPr>
          <w:spacing w:val="-30"/>
          <w:sz w:val="24"/>
        </w:rPr>
        <w:t> </w:t>
      </w:r>
      <w:r>
        <w:rPr>
          <w:sz w:val="24"/>
        </w:rPr>
        <w:t>122.41(l)(1)(ii))</w:t>
      </w:r>
    </w:p>
    <w:p>
      <w:pPr>
        <w:pStyle w:val="BodyText"/>
        <w:spacing w:before="10"/>
        <w:rPr>
          <w:sz w:val="20"/>
        </w:rPr>
      </w:pPr>
    </w:p>
    <w:p>
      <w:pPr>
        <w:pStyle w:val="Heading1"/>
        <w:numPr>
          <w:ilvl w:val="1"/>
          <w:numId w:val="16"/>
        </w:numPr>
        <w:tabs>
          <w:tab w:pos="871" w:val="left" w:leader="none"/>
        </w:tabs>
        <w:spacing w:line="240" w:lineRule="auto" w:before="0" w:after="0"/>
        <w:ind w:left="870" w:right="0" w:hanging="591"/>
        <w:jc w:val="left"/>
      </w:pPr>
      <w:r>
        <w:rPr/>
        <w:t>Anticipated</w:t>
      </w:r>
      <w:r>
        <w:rPr>
          <w:spacing w:val="-1"/>
        </w:rPr>
        <w:t> </w:t>
      </w:r>
      <w:r>
        <w:rPr/>
        <w:t>Noncompliance.</w:t>
      </w:r>
    </w:p>
    <w:p>
      <w:pPr>
        <w:pStyle w:val="BodyText"/>
        <w:rPr>
          <w:b/>
        </w:rPr>
      </w:pPr>
    </w:p>
    <w:p>
      <w:pPr>
        <w:pStyle w:val="BodyText"/>
        <w:ind w:left="870" w:right="1035"/>
      </w:pPr>
      <w:r>
        <w:rPr/>
        <w:t>The Discharger shall give advance notice to the Los Angeles Water Board of any planned changes in the Facility or activity that may result in noncompliance with this Order’s requirements. (40 CFR § 122.41(l)(2))</w:t>
      </w:r>
    </w:p>
    <w:p>
      <w:pPr>
        <w:pStyle w:val="BodyText"/>
        <w:spacing w:before="10"/>
        <w:rPr>
          <w:sz w:val="20"/>
        </w:rPr>
      </w:pPr>
    </w:p>
    <w:p>
      <w:pPr>
        <w:pStyle w:val="Heading1"/>
        <w:numPr>
          <w:ilvl w:val="1"/>
          <w:numId w:val="16"/>
        </w:numPr>
        <w:tabs>
          <w:tab w:pos="871" w:val="left" w:leader="none"/>
        </w:tabs>
        <w:spacing w:line="240" w:lineRule="auto" w:before="0" w:after="0"/>
        <w:ind w:left="870" w:right="0" w:hanging="591"/>
        <w:jc w:val="left"/>
      </w:pPr>
      <w:r>
        <w:rPr/>
        <w:t>Other</w:t>
      </w:r>
      <w:r>
        <w:rPr>
          <w:spacing w:val="-1"/>
        </w:rPr>
        <w:t> </w:t>
      </w:r>
      <w:r>
        <w:rPr/>
        <w:t>Noncompliance.</w:t>
      </w:r>
    </w:p>
    <w:p>
      <w:pPr>
        <w:pStyle w:val="BodyText"/>
        <w:rPr>
          <w:b/>
        </w:rPr>
      </w:pPr>
    </w:p>
    <w:p>
      <w:pPr>
        <w:pStyle w:val="BodyText"/>
        <w:ind w:left="870" w:right="1498"/>
      </w:pPr>
      <w:r>
        <w:rPr/>
        <w:t>The Discharger shall report all instances of noncompliance not reported under Standard Provisions – Reporting sections 5.3, 5.4, and 5.5 above at the time</w:t>
      </w:r>
    </w:p>
    <w:p>
      <w:pPr>
        <w:spacing w:after="0"/>
        <w:sectPr>
          <w:headerReference w:type="default" r:id="rId50"/>
          <w:footerReference w:type="default" r:id="rId51"/>
          <w:pgSz w:w="12240" w:h="15840"/>
          <w:pgMar w:header="728" w:footer="788" w:top="1540" w:bottom="980" w:left="1160" w:right="420"/>
        </w:sectPr>
      </w:pPr>
    </w:p>
    <w:p>
      <w:pPr>
        <w:pStyle w:val="BodyText"/>
        <w:spacing w:before="11"/>
        <w:rPr>
          <w:sz w:val="15"/>
        </w:rPr>
      </w:pPr>
    </w:p>
    <w:p>
      <w:pPr>
        <w:pStyle w:val="BodyText"/>
        <w:spacing w:before="92"/>
        <w:ind w:left="870" w:right="1019"/>
      </w:pPr>
      <w:r>
        <w:rPr/>
        <w:t>monitoring reports are submitted. The reports shall contain the information listed in Standard Provision – Reporting section 5.5 above. For noncompliance events related to combined sewer overflows, sanitary sewer overflows, or bypass events, these reports shall contain the information described in Standard Provision – Reporting section 5.5 and the applicable required data in Appendix A to 40 CFR part 127. The Los Angeles Water Board may also require the Discharger to electronically submit reports not related to combined sewer overflows, sanitary sewer overflows, or bypass events under this section. (40 CFR § 122.41(l)(7))</w:t>
      </w:r>
    </w:p>
    <w:p>
      <w:pPr>
        <w:pStyle w:val="BodyText"/>
        <w:spacing w:before="10"/>
        <w:rPr>
          <w:sz w:val="20"/>
        </w:rPr>
      </w:pPr>
    </w:p>
    <w:p>
      <w:pPr>
        <w:pStyle w:val="Heading1"/>
        <w:numPr>
          <w:ilvl w:val="1"/>
          <w:numId w:val="16"/>
        </w:numPr>
        <w:tabs>
          <w:tab w:pos="871" w:val="left" w:leader="none"/>
        </w:tabs>
        <w:spacing w:line="240" w:lineRule="auto" w:before="0" w:after="0"/>
        <w:ind w:left="870" w:right="0" w:hanging="592"/>
        <w:jc w:val="left"/>
      </w:pPr>
      <w:r>
        <w:rPr/>
        <w:t>Other</w:t>
      </w:r>
      <w:r>
        <w:rPr>
          <w:spacing w:val="-1"/>
        </w:rPr>
        <w:t> </w:t>
      </w:r>
      <w:r>
        <w:rPr/>
        <w:t>Information.</w:t>
      </w:r>
    </w:p>
    <w:p>
      <w:pPr>
        <w:pStyle w:val="BodyText"/>
        <w:rPr>
          <w:b/>
        </w:rPr>
      </w:pPr>
    </w:p>
    <w:p>
      <w:pPr>
        <w:pStyle w:val="BodyText"/>
        <w:ind w:left="870" w:right="1031"/>
      </w:pPr>
      <w:r>
        <w:rPr/>
        <w:t>When the Discharger becomes aware that it failed to submit any relevant facts in a permit application or submitted incorrect information in a permit application or in any report to the Los Angeles Water Board, State Water Board, or USEPA, the Discharger shall promptly submit such facts or information. (40 CFR § 122.41(l)(8))</w:t>
      </w:r>
    </w:p>
    <w:p>
      <w:pPr>
        <w:pStyle w:val="BodyText"/>
        <w:spacing w:before="10"/>
        <w:rPr>
          <w:sz w:val="20"/>
        </w:rPr>
      </w:pPr>
    </w:p>
    <w:p>
      <w:pPr>
        <w:pStyle w:val="Heading1"/>
        <w:numPr>
          <w:ilvl w:val="0"/>
          <w:numId w:val="15"/>
        </w:numPr>
        <w:tabs>
          <w:tab w:pos="640" w:val="left" w:leader="none"/>
        </w:tabs>
        <w:spacing w:line="240" w:lineRule="auto" w:before="1" w:after="0"/>
        <w:ind w:left="639" w:right="0" w:hanging="360"/>
        <w:jc w:val="left"/>
      </w:pPr>
      <w:r>
        <w:rPr/>
        <w:t>ENFORCEMENT.</w:t>
      </w:r>
    </w:p>
    <w:p>
      <w:pPr>
        <w:pStyle w:val="BodyText"/>
        <w:spacing w:before="9"/>
        <w:rPr>
          <w:b/>
          <w:sz w:val="20"/>
        </w:rPr>
      </w:pPr>
    </w:p>
    <w:p>
      <w:pPr>
        <w:pStyle w:val="ListParagraph"/>
        <w:numPr>
          <w:ilvl w:val="1"/>
          <w:numId w:val="15"/>
        </w:numPr>
        <w:tabs>
          <w:tab w:pos="870" w:val="left" w:leader="none"/>
        </w:tabs>
        <w:spacing w:line="240" w:lineRule="auto" w:before="1" w:after="0"/>
        <w:ind w:left="870" w:right="1088" w:hanging="591"/>
        <w:jc w:val="left"/>
        <w:rPr>
          <w:sz w:val="24"/>
        </w:rPr>
      </w:pPr>
      <w:r>
        <w:rPr>
          <w:sz w:val="24"/>
        </w:rPr>
        <w:t>The Los Angeles Water Board is authorized to enforce the terms of this permit under several provisions of the CWC, including, but not limited to, sections 13268, 13350, 13385, 13386, and</w:t>
      </w:r>
      <w:r>
        <w:rPr>
          <w:spacing w:val="-2"/>
          <w:sz w:val="24"/>
        </w:rPr>
        <w:t> </w:t>
      </w:r>
      <w:r>
        <w:rPr>
          <w:sz w:val="24"/>
        </w:rPr>
        <w:t>13387.</w:t>
      </w:r>
    </w:p>
    <w:p>
      <w:pPr>
        <w:pStyle w:val="BodyText"/>
        <w:spacing w:before="10"/>
        <w:rPr>
          <w:sz w:val="20"/>
        </w:rPr>
      </w:pPr>
    </w:p>
    <w:p>
      <w:pPr>
        <w:pStyle w:val="ListParagraph"/>
        <w:numPr>
          <w:ilvl w:val="1"/>
          <w:numId w:val="15"/>
        </w:numPr>
        <w:tabs>
          <w:tab w:pos="870" w:val="left" w:leader="none"/>
        </w:tabs>
        <w:spacing w:line="240" w:lineRule="auto" w:before="0" w:after="0"/>
        <w:ind w:left="870" w:right="1037" w:hanging="591"/>
        <w:jc w:val="left"/>
        <w:rPr>
          <w:sz w:val="24"/>
        </w:rPr>
      </w:pPr>
      <w:r>
        <w:rPr>
          <w:sz w:val="24"/>
        </w:rPr>
        <w:t>The CWA provides that any person who violates section 301, 302, 306, 307, 308, 318 or 405 of the CWA, or any permit condition or limitation implementing any such sections in a permit issued under section 402, or any requirement imposed</w:t>
      </w:r>
      <w:r>
        <w:rPr>
          <w:spacing w:val="-47"/>
          <w:sz w:val="24"/>
        </w:rPr>
        <w:t> </w:t>
      </w:r>
      <w:r>
        <w:rPr>
          <w:sz w:val="24"/>
        </w:rPr>
        <w:t>in a pretreatment program approved under sections 402(a)(3) or 402(b)(8) of the CWA is subject to a civil penalty not to exceed $25,000 per day for each</w:t>
      </w:r>
      <w:r>
        <w:rPr>
          <w:spacing w:val="-44"/>
          <w:sz w:val="24"/>
        </w:rPr>
        <w:t> </w:t>
      </w:r>
      <w:r>
        <w:rPr>
          <w:sz w:val="24"/>
        </w:rPr>
        <w:t>violation.</w:t>
      </w:r>
    </w:p>
    <w:p>
      <w:pPr>
        <w:pStyle w:val="BodyText"/>
        <w:spacing w:before="9"/>
        <w:rPr>
          <w:sz w:val="20"/>
        </w:rPr>
      </w:pPr>
    </w:p>
    <w:p>
      <w:pPr>
        <w:pStyle w:val="ListParagraph"/>
        <w:numPr>
          <w:ilvl w:val="1"/>
          <w:numId w:val="15"/>
        </w:numPr>
        <w:tabs>
          <w:tab w:pos="870" w:val="left" w:leader="none"/>
        </w:tabs>
        <w:spacing w:line="240" w:lineRule="auto" w:before="0" w:after="0"/>
        <w:ind w:left="870" w:right="1034" w:hanging="591"/>
        <w:jc w:val="left"/>
        <w:rPr>
          <w:sz w:val="24"/>
        </w:rPr>
      </w:pPr>
      <w:r>
        <w:rPr>
          <w:sz w:val="24"/>
        </w:rPr>
        <w:t>The CWA provides that any person who negligently violates sections 301, 302, 306, 307, 308, 318, or 405 of the CWA, or any condition or limitation implementing any of such sections in a permit issued under section 402 of the CWA, or any requirement imposed in a pretreatment program approved under section 402(a)(3) or 402(b)(8) of the CWA, is subject to criminal penalties of $2,500 to $25,000 per day of violation, or imprisonment of not more than one (1) year, or both. In the case of a second or subsequent conviction for a negligent violation, a person shall be subject to criminal penalties of not more than $50,000 per day of violation, or by imprisonment of not more than two (2) years, or both. Any person who knowingly violates such sections, or such conditions or limitations is subject to criminal penalties of $5,000 to $50,000 per day of violation, or imprisonment for not more than three (3) years, or both. In the case of a second or subsequent conviction for a knowing violation, a person shall be subject to criminal penalties of not more than $100,000 per day of violation, or imprisonment of not more than</w:t>
      </w:r>
      <w:r>
        <w:rPr>
          <w:spacing w:val="-41"/>
          <w:sz w:val="24"/>
        </w:rPr>
        <w:t> </w:t>
      </w:r>
      <w:r>
        <w:rPr>
          <w:sz w:val="24"/>
        </w:rPr>
        <w:t>six</w:t>
      </w:r>
    </w:p>
    <w:p>
      <w:pPr>
        <w:pStyle w:val="BodyText"/>
        <w:ind w:left="870" w:right="1124"/>
      </w:pPr>
      <w:r>
        <w:rPr/>
        <w:t>(6) years, or both. Any person who knowingly violates section 301, 302, 303, 306, 307, 308, 318 or 405 of the CWA, or any permit condition or limitation implementing any of such sections in a permit issued under section 402 of the</w:t>
      </w:r>
    </w:p>
    <w:p>
      <w:pPr>
        <w:spacing w:after="0"/>
        <w:sectPr>
          <w:headerReference w:type="default" r:id="rId52"/>
          <w:footerReference w:type="default" r:id="rId53"/>
          <w:pgSz w:w="12240" w:h="15840"/>
          <w:pgMar w:header="728" w:footer="788" w:top="1540" w:bottom="980" w:left="1160" w:right="420"/>
        </w:sectPr>
      </w:pPr>
    </w:p>
    <w:p>
      <w:pPr>
        <w:pStyle w:val="BodyText"/>
        <w:spacing w:before="11"/>
        <w:rPr>
          <w:sz w:val="15"/>
        </w:rPr>
      </w:pPr>
    </w:p>
    <w:p>
      <w:pPr>
        <w:pStyle w:val="BodyText"/>
        <w:spacing w:before="92"/>
        <w:ind w:left="870" w:right="1271"/>
      </w:pPr>
      <w:r>
        <w:rPr/>
        <w:t>CWA, and who knows at that time that he thereby places another person in imminent danger of death or serious bodily injury, shall, upon conviction, be subject to a fine of not more than $250,000 or imprisonment of not more than 15 years, or both. In the case of a second or subsequent conviction for a knowing endangerment violation, a person shall be subject to a fine of not more than</w:t>
      </w:r>
    </w:p>
    <w:p>
      <w:pPr>
        <w:pStyle w:val="BodyText"/>
        <w:ind w:left="870" w:right="1111"/>
      </w:pPr>
      <w:r>
        <w:rPr/>
        <w:t>$500,000 or by imprisonment of not more than 30 years, or both. An organization, as defined in section 309(c)(3)(B)(iii) of the CWA, shall, upon conviction of violating the imminent danger provision, be subject to a fine of not more than</w:t>
      </w:r>
    </w:p>
    <w:p>
      <w:pPr>
        <w:pStyle w:val="BodyText"/>
        <w:ind w:left="870" w:right="2083"/>
      </w:pPr>
      <w:r>
        <w:rPr/>
        <w:t>$1,000,000 and can be fined up to $2,000,000 for second or subsequent convictions. (40 CFR § 122.41(a)(2); CWC §§ 13385 and 13387)</w:t>
      </w:r>
    </w:p>
    <w:p>
      <w:pPr>
        <w:pStyle w:val="BodyText"/>
      </w:pPr>
    </w:p>
    <w:p>
      <w:pPr>
        <w:pStyle w:val="BodyText"/>
        <w:ind w:left="870" w:right="1047"/>
      </w:pPr>
      <w:r>
        <w:rPr/>
        <w:t>Any person may be assessed an administrative penalty by the Los Angeles Water Board for violating section 301, 302, 306, 307, 308, 318 or 405 of the CWA, or any permit condition or limitation implementing any of such sections in a permit issued under section 402 of the CWA. Administrative penalties for Class I violations are not to exceed $10,000 per violation, with the maximum amount of any Class I penalty assessed not to exceed $25,000. Penalties for Class II violations are not to exceed $10,000 per day for each day during which the violation continues, with the maximum amount of any Class II penalty not to exceed $125,000. (40 CFR § 122.41(a)(3))</w:t>
      </w:r>
    </w:p>
    <w:p>
      <w:pPr>
        <w:pStyle w:val="BodyText"/>
        <w:spacing w:before="11"/>
        <w:rPr>
          <w:sz w:val="20"/>
        </w:rPr>
      </w:pPr>
    </w:p>
    <w:p>
      <w:pPr>
        <w:pStyle w:val="ListParagraph"/>
        <w:numPr>
          <w:ilvl w:val="1"/>
          <w:numId w:val="15"/>
        </w:numPr>
        <w:tabs>
          <w:tab w:pos="870" w:val="left" w:leader="none"/>
        </w:tabs>
        <w:spacing w:line="240" w:lineRule="auto" w:before="0" w:after="0"/>
        <w:ind w:left="870" w:right="1408" w:hanging="591"/>
        <w:jc w:val="left"/>
        <w:rPr>
          <w:sz w:val="24"/>
        </w:rPr>
      </w:pPr>
      <w:r>
        <w:rPr>
          <w:sz w:val="24"/>
        </w:rPr>
        <w:t>The CWA provides that any person who falsifies, tampers with, or knowingly renders inaccurate any monitoring device or method required to be maintained under this permit shall, upon conviction, be punished by a fine of not more</w:t>
      </w:r>
      <w:r>
        <w:rPr>
          <w:spacing w:val="-34"/>
          <w:sz w:val="24"/>
        </w:rPr>
        <w:t> </w:t>
      </w:r>
      <w:r>
        <w:rPr>
          <w:sz w:val="24"/>
        </w:rPr>
        <w:t>than</w:t>
      </w:r>
    </w:p>
    <w:p>
      <w:pPr>
        <w:pStyle w:val="BodyText"/>
        <w:ind w:left="870" w:right="1324"/>
      </w:pPr>
      <w:r>
        <w:rPr/>
        <w:t>$10,000, or by imprisonment for not more than two (2) years, or both. If a conviction of a person is for a violation committed after a first conviction of such person under this paragraph, punishment is a fine of not more than $20,000 per day of violation, or by imprisonment of not more than four (4) years, or both. (40 CFR § 122.41(j)(5))</w:t>
      </w:r>
    </w:p>
    <w:p>
      <w:pPr>
        <w:pStyle w:val="BodyText"/>
        <w:spacing w:before="9"/>
        <w:rPr>
          <w:sz w:val="20"/>
        </w:rPr>
      </w:pPr>
    </w:p>
    <w:p>
      <w:pPr>
        <w:pStyle w:val="ListParagraph"/>
        <w:numPr>
          <w:ilvl w:val="1"/>
          <w:numId w:val="15"/>
        </w:numPr>
        <w:tabs>
          <w:tab w:pos="870" w:val="left" w:leader="none"/>
        </w:tabs>
        <w:spacing w:line="240" w:lineRule="auto" w:before="0" w:after="0"/>
        <w:ind w:left="870" w:right="1088" w:hanging="591"/>
        <w:jc w:val="left"/>
        <w:rPr>
          <w:sz w:val="24"/>
        </w:rPr>
      </w:pPr>
      <w:r>
        <w:rPr>
          <w:sz w:val="24"/>
        </w:rPr>
        <w:t>The CWA provides that any person who knowingly makes any false statement, representation, or certification in any record or other document submitted or required to be maintained under this Order, including monitoring reports or reports of compliance or noncompliance shall, upon conviction, be punished by a fine of not more than $10,000 per violation, or by imprisonment for not more than six months per violation, or by both. (40 CFR §</w:t>
      </w:r>
      <w:r>
        <w:rPr>
          <w:spacing w:val="-6"/>
          <w:sz w:val="24"/>
        </w:rPr>
        <w:t> </w:t>
      </w:r>
      <w:r>
        <w:rPr>
          <w:sz w:val="24"/>
        </w:rPr>
        <w:t>122.41(k)(2))</w:t>
      </w:r>
    </w:p>
    <w:p>
      <w:pPr>
        <w:pStyle w:val="BodyText"/>
        <w:spacing w:before="10"/>
        <w:rPr>
          <w:sz w:val="20"/>
        </w:rPr>
      </w:pPr>
    </w:p>
    <w:p>
      <w:pPr>
        <w:pStyle w:val="Heading1"/>
        <w:numPr>
          <w:ilvl w:val="0"/>
          <w:numId w:val="15"/>
        </w:numPr>
        <w:tabs>
          <w:tab w:pos="640" w:val="left" w:leader="none"/>
        </w:tabs>
        <w:spacing w:line="240" w:lineRule="auto" w:before="0" w:after="0"/>
        <w:ind w:left="640" w:right="2377" w:hanging="360"/>
        <w:jc w:val="left"/>
      </w:pPr>
      <w:r>
        <w:rPr/>
        <w:t>ADDITIONAL STANDARD CONDITIONS APPLICABLE TO SPECIFIC CATEGORIES OF NPDES PERMITS (40 CFR SECTION</w:t>
      </w:r>
      <w:r>
        <w:rPr>
          <w:spacing w:val="-16"/>
        </w:rPr>
        <w:t> </w:t>
      </w:r>
      <w:r>
        <w:rPr/>
        <w:t>122.42).</w:t>
      </w:r>
    </w:p>
    <w:p>
      <w:pPr>
        <w:pStyle w:val="BodyText"/>
        <w:spacing w:before="10"/>
        <w:rPr>
          <w:b/>
          <w:sz w:val="20"/>
        </w:rPr>
      </w:pPr>
    </w:p>
    <w:p>
      <w:pPr>
        <w:pStyle w:val="ListParagraph"/>
        <w:numPr>
          <w:ilvl w:val="1"/>
          <w:numId w:val="15"/>
        </w:numPr>
        <w:tabs>
          <w:tab w:pos="871" w:val="left" w:leader="none"/>
        </w:tabs>
        <w:spacing w:line="240" w:lineRule="auto" w:before="0" w:after="0"/>
        <w:ind w:left="870" w:right="0" w:hanging="591"/>
        <w:jc w:val="left"/>
        <w:rPr>
          <w:b/>
          <w:sz w:val="24"/>
        </w:rPr>
      </w:pPr>
      <w:r>
        <w:rPr>
          <w:b/>
          <w:sz w:val="24"/>
        </w:rPr>
        <w:t>Stormwater</w:t>
      </w:r>
      <w:r>
        <w:rPr>
          <w:b/>
          <w:spacing w:val="-1"/>
          <w:sz w:val="24"/>
        </w:rPr>
        <w:t> </w:t>
      </w:r>
      <w:r>
        <w:rPr>
          <w:b/>
          <w:sz w:val="24"/>
        </w:rPr>
        <w:t>Discharges.</w:t>
      </w:r>
    </w:p>
    <w:p>
      <w:pPr>
        <w:pStyle w:val="BodyText"/>
        <w:spacing w:before="10"/>
        <w:rPr>
          <w:b/>
          <w:sz w:val="20"/>
        </w:rPr>
      </w:pPr>
    </w:p>
    <w:p>
      <w:pPr>
        <w:pStyle w:val="ListParagraph"/>
        <w:numPr>
          <w:ilvl w:val="2"/>
          <w:numId w:val="15"/>
        </w:numPr>
        <w:tabs>
          <w:tab w:pos="1100" w:val="left" w:leader="none"/>
          <w:tab w:pos="1101" w:val="left" w:leader="none"/>
        </w:tabs>
        <w:spacing w:line="240" w:lineRule="auto" w:before="0" w:after="0"/>
        <w:ind w:left="1100" w:right="1511" w:hanging="821"/>
        <w:jc w:val="left"/>
        <w:rPr>
          <w:sz w:val="24"/>
        </w:rPr>
      </w:pPr>
      <w:r>
        <w:rPr>
          <w:sz w:val="24"/>
        </w:rPr>
        <w:t>The initial permits for discharges composed entirely of stormwater issued pursuant to 40 CFR section 122.26(e)(7) shall require compliance with the conditions of the permit as expeditiously as practicable, but in no event later than three years after the date of issuance of the</w:t>
      </w:r>
      <w:r>
        <w:rPr>
          <w:spacing w:val="-8"/>
          <w:sz w:val="24"/>
        </w:rPr>
        <w:t> </w:t>
      </w:r>
      <w:r>
        <w:rPr>
          <w:sz w:val="24"/>
        </w:rPr>
        <w:t>permit.</w:t>
      </w:r>
    </w:p>
    <w:p>
      <w:pPr>
        <w:spacing w:after="0" w:line="240" w:lineRule="auto"/>
        <w:jc w:val="left"/>
        <w:rPr>
          <w:sz w:val="24"/>
        </w:rPr>
        <w:sectPr>
          <w:headerReference w:type="default" r:id="rId54"/>
          <w:footerReference w:type="default" r:id="rId55"/>
          <w:pgSz w:w="12240" w:h="15840"/>
          <w:pgMar w:header="728" w:footer="788" w:top="1540" w:bottom="980" w:left="1160" w:right="420"/>
        </w:sectPr>
      </w:pPr>
    </w:p>
    <w:p>
      <w:pPr>
        <w:pStyle w:val="BodyText"/>
        <w:spacing w:before="11"/>
        <w:rPr>
          <w:sz w:val="15"/>
        </w:rPr>
      </w:pPr>
    </w:p>
    <w:p>
      <w:pPr>
        <w:pStyle w:val="Heading1"/>
        <w:spacing w:before="92"/>
        <w:ind w:left="1420" w:right="1922"/>
        <w:jc w:val="center"/>
      </w:pPr>
      <w:r>
        <w:rPr/>
        <w:t>ATTACHMENT E — MONITORING AND REPORTING PROGRAM</w:t>
      </w:r>
    </w:p>
    <w:p>
      <w:pPr>
        <w:pStyle w:val="BodyText"/>
        <w:spacing w:before="10"/>
        <w:rPr>
          <w:b/>
          <w:sz w:val="20"/>
        </w:rPr>
      </w:pPr>
    </w:p>
    <w:p>
      <w:pPr>
        <w:spacing w:before="0"/>
        <w:ind w:left="1209" w:right="1947" w:firstLine="0"/>
        <w:jc w:val="center"/>
        <w:rPr>
          <w:b/>
          <w:sz w:val="24"/>
        </w:rPr>
      </w:pPr>
      <w:r>
        <w:rPr>
          <w:b/>
          <w:sz w:val="24"/>
        </w:rPr>
        <w:t>TABLE OF CONTENTS</w:t>
      </w:r>
    </w:p>
    <w:p>
      <w:pPr>
        <w:pStyle w:val="BodyText"/>
        <w:spacing w:before="10"/>
        <w:rPr>
          <w:b/>
          <w:sz w:val="20"/>
        </w:rPr>
      </w:pPr>
    </w:p>
    <w:p>
      <w:pPr>
        <w:pStyle w:val="ListParagraph"/>
        <w:numPr>
          <w:ilvl w:val="0"/>
          <w:numId w:val="17"/>
        </w:numPr>
        <w:tabs>
          <w:tab w:pos="819" w:val="left" w:leader="none"/>
          <w:tab w:pos="820" w:val="left" w:leader="none"/>
          <w:tab w:pos="9277" w:val="left" w:leader="dot"/>
        </w:tabs>
        <w:spacing w:line="240" w:lineRule="auto" w:before="0" w:after="0"/>
        <w:ind w:left="820" w:right="0" w:hanging="540"/>
        <w:jc w:val="left"/>
        <w:rPr>
          <w:sz w:val="24"/>
        </w:rPr>
      </w:pPr>
      <w:r>
        <w:rPr>
          <w:sz w:val="24"/>
        </w:rPr>
        <w:t>Purpose</w:t>
        <w:tab/>
        <w:t>E-2</w:t>
      </w:r>
    </w:p>
    <w:p>
      <w:pPr>
        <w:pStyle w:val="BodyText"/>
        <w:spacing w:before="60"/>
        <w:ind w:left="524" w:right="1008"/>
        <w:jc w:val="right"/>
      </w:pPr>
      <w:r>
        <w:rPr/>
        <w:t>1.1. General Objectives</w:t>
      </w:r>
      <w:r>
        <w:rPr>
          <w:spacing w:val="-19"/>
        </w:rPr>
        <w:t> </w:t>
      </w:r>
      <w:r>
        <w:rPr/>
        <w:t>............................................................................................E-2</w:t>
      </w:r>
    </w:p>
    <w:p>
      <w:pPr>
        <w:pStyle w:val="ListParagraph"/>
        <w:numPr>
          <w:ilvl w:val="0"/>
          <w:numId w:val="17"/>
        </w:numPr>
        <w:tabs>
          <w:tab w:pos="539" w:val="left" w:leader="none"/>
          <w:tab w:pos="820" w:val="left" w:leader="none"/>
        </w:tabs>
        <w:spacing w:line="240" w:lineRule="auto" w:before="60" w:after="0"/>
        <w:ind w:left="820" w:right="1013" w:hanging="820"/>
        <w:jc w:val="right"/>
        <w:rPr>
          <w:sz w:val="24"/>
        </w:rPr>
      </w:pPr>
      <w:r>
        <w:rPr>
          <w:sz w:val="24"/>
        </w:rPr>
        <w:t>Monitoring Requirements – Compliance Options 2 and 3</w:t>
      </w:r>
      <w:r>
        <w:rPr>
          <w:spacing w:val="-44"/>
          <w:sz w:val="24"/>
        </w:rPr>
        <w:t> </w:t>
      </w:r>
      <w:r>
        <w:rPr>
          <w:sz w:val="24"/>
        </w:rPr>
        <w:t>....................................E-2</w:t>
      </w:r>
    </w:p>
    <w:p>
      <w:pPr>
        <w:pStyle w:val="ListParagraph"/>
        <w:numPr>
          <w:ilvl w:val="1"/>
          <w:numId w:val="17"/>
        </w:numPr>
        <w:tabs>
          <w:tab w:pos="1000" w:val="left" w:leader="none"/>
        </w:tabs>
        <w:spacing w:line="240" w:lineRule="auto" w:before="60" w:after="0"/>
        <w:ind w:left="1000" w:right="0" w:hanging="476"/>
        <w:jc w:val="both"/>
        <w:rPr>
          <w:sz w:val="24"/>
        </w:rPr>
      </w:pPr>
      <w:r>
        <w:rPr>
          <w:sz w:val="24"/>
        </w:rPr>
        <w:t>Compliance Option 2 – Facility-Specific Design Standard to</w:t>
      </w:r>
      <w:r>
        <w:rPr>
          <w:spacing w:val="-8"/>
          <w:sz w:val="24"/>
        </w:rPr>
        <w:t> </w:t>
      </w:r>
      <w:r>
        <w:rPr>
          <w:sz w:val="24"/>
        </w:rPr>
        <w:t>Reduce</w:t>
      </w:r>
    </w:p>
    <w:p>
      <w:pPr>
        <w:pStyle w:val="BodyText"/>
        <w:ind w:left="1000"/>
        <w:jc w:val="both"/>
      </w:pPr>
      <w:r>
        <w:rPr/>
        <w:t>Stormwater Runoff.............................................................................................E-2</w:t>
      </w:r>
    </w:p>
    <w:p>
      <w:pPr>
        <w:pStyle w:val="ListParagraph"/>
        <w:numPr>
          <w:ilvl w:val="1"/>
          <w:numId w:val="17"/>
        </w:numPr>
        <w:tabs>
          <w:tab w:pos="1000" w:val="left" w:leader="none"/>
        </w:tabs>
        <w:spacing w:line="240" w:lineRule="auto" w:before="60" w:after="0"/>
        <w:ind w:left="1000" w:right="1006" w:hanging="476"/>
        <w:jc w:val="both"/>
        <w:rPr>
          <w:sz w:val="24"/>
        </w:rPr>
      </w:pPr>
      <w:r>
        <w:rPr>
          <w:sz w:val="24"/>
        </w:rPr>
        <w:t>Compliance Option 3 – Direct Demonstration of Compliance with Effluent Limitations</w:t>
      </w:r>
      <w:r>
        <w:rPr>
          <w:spacing w:val="-12"/>
          <w:sz w:val="24"/>
        </w:rPr>
        <w:t> </w:t>
      </w:r>
      <w:r>
        <w:rPr>
          <w:sz w:val="24"/>
        </w:rPr>
        <w:t>.........................................................................................................E-3</w:t>
      </w:r>
    </w:p>
    <w:p>
      <w:pPr>
        <w:pStyle w:val="BodyText"/>
        <w:spacing w:before="60"/>
        <w:ind w:left="755" w:right="1027"/>
        <w:jc w:val="both"/>
      </w:pPr>
      <w:r>
        <w:rPr/>
        <w:t>2.2.1. Site-Specific Monitoring Implementation Plan ..........................................E-3 2.2.2. Sampling and Analysis .............................................................................E-3 2.2.3. Sample Collection and Handling...............................................................E-5 2.2.4.    Sampling Event Visual</w:t>
      </w:r>
      <w:r>
        <w:rPr>
          <w:spacing w:val="-36"/>
        </w:rPr>
        <w:t> </w:t>
      </w:r>
      <w:r>
        <w:rPr/>
        <w:t>Observations........................................................E-8</w:t>
      </w:r>
    </w:p>
    <w:p>
      <w:pPr>
        <w:pStyle w:val="BodyText"/>
        <w:spacing w:before="1"/>
        <w:ind w:left="755"/>
        <w:jc w:val="both"/>
      </w:pPr>
      <w:r>
        <w:rPr/>
        <w:t>2.2.5.   Sample Collection and Visual Observation Exceptions</w:t>
      </w:r>
      <w:r>
        <w:rPr>
          <w:spacing w:val="-1"/>
        </w:rPr>
        <w:t> </w:t>
      </w:r>
      <w:r>
        <w:rPr/>
        <w:t>............................E-8</w:t>
      </w:r>
    </w:p>
    <w:p>
      <w:pPr>
        <w:pStyle w:val="ListParagraph"/>
        <w:numPr>
          <w:ilvl w:val="0"/>
          <w:numId w:val="18"/>
        </w:numPr>
        <w:tabs>
          <w:tab w:pos="820" w:val="left" w:leader="none"/>
        </w:tabs>
        <w:spacing w:line="240" w:lineRule="auto" w:before="0" w:after="0"/>
        <w:ind w:left="820" w:right="0" w:hanging="540"/>
        <w:jc w:val="both"/>
        <w:rPr>
          <w:sz w:val="24"/>
        </w:rPr>
      </w:pPr>
      <w:r>
        <w:rPr>
          <w:sz w:val="24"/>
        </w:rPr>
        <w:t>Reporting Requirements – Compliance Options 1, 2, and 3</w:t>
      </w:r>
      <w:r>
        <w:rPr>
          <w:spacing w:val="-19"/>
          <w:sz w:val="24"/>
        </w:rPr>
        <w:t> </w:t>
      </w:r>
      <w:r>
        <w:rPr>
          <w:sz w:val="24"/>
        </w:rPr>
        <w:t>................................E-9</w:t>
      </w:r>
    </w:p>
    <w:p>
      <w:pPr>
        <w:pStyle w:val="ListParagraph"/>
        <w:numPr>
          <w:ilvl w:val="1"/>
          <w:numId w:val="18"/>
        </w:numPr>
        <w:tabs>
          <w:tab w:pos="1000" w:val="left" w:leader="none"/>
        </w:tabs>
        <w:spacing w:line="240" w:lineRule="auto" w:before="60" w:after="0"/>
        <w:ind w:left="1000" w:right="0" w:hanging="476"/>
        <w:jc w:val="both"/>
        <w:rPr>
          <w:sz w:val="24"/>
        </w:rPr>
      </w:pPr>
      <w:r>
        <w:rPr>
          <w:sz w:val="24"/>
        </w:rPr>
        <w:t>Compliance Option 1 – Agreement with Local Watershed</w:t>
      </w:r>
      <w:r>
        <w:rPr>
          <w:spacing w:val="-8"/>
          <w:sz w:val="24"/>
        </w:rPr>
        <w:t> </w:t>
      </w:r>
      <w:r>
        <w:rPr>
          <w:sz w:val="24"/>
        </w:rPr>
        <w:t>Management</w:t>
      </w:r>
    </w:p>
    <w:p>
      <w:pPr>
        <w:pStyle w:val="BodyText"/>
        <w:ind w:left="1000"/>
        <w:jc w:val="both"/>
      </w:pPr>
      <w:r>
        <w:rPr/>
        <w:t>Group to Fund Regional Project ........................................................................E-9</w:t>
      </w:r>
    </w:p>
    <w:p>
      <w:pPr>
        <w:pStyle w:val="ListParagraph"/>
        <w:numPr>
          <w:ilvl w:val="1"/>
          <w:numId w:val="18"/>
        </w:numPr>
        <w:tabs>
          <w:tab w:pos="1000" w:val="left" w:leader="none"/>
        </w:tabs>
        <w:spacing w:line="240" w:lineRule="auto" w:before="60" w:after="0"/>
        <w:ind w:left="1000" w:right="0" w:hanging="476"/>
        <w:jc w:val="both"/>
        <w:rPr>
          <w:sz w:val="24"/>
        </w:rPr>
      </w:pPr>
      <w:r>
        <w:rPr>
          <w:sz w:val="24"/>
        </w:rPr>
        <w:t>Compliance Option 2 – Facility-Specific Design Standard to</w:t>
      </w:r>
      <w:r>
        <w:rPr>
          <w:spacing w:val="-8"/>
          <w:sz w:val="24"/>
        </w:rPr>
        <w:t> </w:t>
      </w:r>
      <w:r>
        <w:rPr>
          <w:sz w:val="24"/>
        </w:rPr>
        <w:t>Reduce</w:t>
      </w:r>
    </w:p>
    <w:p>
      <w:pPr>
        <w:pStyle w:val="BodyText"/>
        <w:ind w:left="1000"/>
        <w:jc w:val="both"/>
      </w:pPr>
      <w:r>
        <w:rPr/>
        <w:t>Stormwater Runoff.............................................................................................E-9</w:t>
      </w:r>
    </w:p>
    <w:p>
      <w:pPr>
        <w:pStyle w:val="ListParagraph"/>
        <w:numPr>
          <w:ilvl w:val="1"/>
          <w:numId w:val="18"/>
        </w:numPr>
        <w:tabs>
          <w:tab w:pos="1000" w:val="left" w:leader="none"/>
        </w:tabs>
        <w:spacing w:line="240" w:lineRule="auto" w:before="60" w:after="0"/>
        <w:ind w:left="1000" w:right="1006" w:hanging="476"/>
        <w:jc w:val="both"/>
        <w:rPr>
          <w:sz w:val="24"/>
        </w:rPr>
      </w:pPr>
      <w:r>
        <w:rPr>
          <w:sz w:val="24"/>
        </w:rPr>
        <w:t>Compliance Option 3 – Direct Demonstration of Compliance with Effluent Limitations</w:t>
      </w:r>
      <w:r>
        <w:rPr>
          <w:spacing w:val="-12"/>
          <w:sz w:val="24"/>
        </w:rPr>
        <w:t> </w:t>
      </w:r>
      <w:r>
        <w:rPr>
          <w:sz w:val="24"/>
        </w:rPr>
        <w:t>.........................................................................................................E-9</w:t>
      </w:r>
    </w:p>
    <w:p>
      <w:pPr>
        <w:pStyle w:val="BodyText"/>
        <w:tabs>
          <w:tab w:pos="539" w:val="left" w:leader="none"/>
        </w:tabs>
        <w:spacing w:before="60"/>
        <w:ind w:right="1012"/>
        <w:jc w:val="right"/>
      </w:pPr>
      <w:r>
        <w:rPr/>
        <w:t>4.</w:t>
        <w:tab/>
        <w:t>Additional Reporting</w:t>
      </w:r>
      <w:r>
        <w:rPr>
          <w:spacing w:val="-1"/>
        </w:rPr>
        <w:t> </w:t>
      </w:r>
      <w:r>
        <w:rPr/>
        <w:t>Requirements....................................................................E-10</w:t>
      </w:r>
    </w:p>
    <w:p>
      <w:pPr>
        <w:pStyle w:val="BodyText"/>
        <w:spacing w:line="292" w:lineRule="auto" w:before="59"/>
        <w:ind w:left="524" w:right="1008"/>
        <w:jc w:val="right"/>
      </w:pPr>
      <w:r>
        <w:rPr/>
        <w:t>4.1. General Monitoring and Reporting</w:t>
      </w:r>
      <w:r>
        <w:rPr>
          <w:spacing w:val="-9"/>
        </w:rPr>
        <w:t> </w:t>
      </w:r>
      <w:r>
        <w:rPr/>
        <w:t>Requirements</w:t>
      </w:r>
      <w:r>
        <w:rPr>
          <w:spacing w:val="-14"/>
        </w:rPr>
        <w:t> </w:t>
      </w:r>
      <w:r>
        <w:rPr/>
        <w:t>...........................................E-10 4.2.</w:t>
      </w:r>
      <w:r>
        <w:rPr>
          <w:spacing w:val="21"/>
        </w:rPr>
        <w:t> </w:t>
      </w:r>
      <w:r>
        <w:rPr/>
        <w:t>Monitoring........................................................................................................E-10</w:t>
      </w:r>
    </w:p>
    <w:p>
      <w:pPr>
        <w:pStyle w:val="BodyText"/>
        <w:tabs>
          <w:tab w:pos="844" w:val="left" w:leader="none"/>
        </w:tabs>
        <w:spacing w:line="275" w:lineRule="exact"/>
        <w:ind w:right="1027"/>
        <w:jc w:val="right"/>
      </w:pPr>
      <w:r>
        <w:rPr/>
        <w:t>4.2.4.</w:t>
        <w:tab/>
        <w:t>Reporting Protocols for Sampling Results</w:t>
      </w:r>
      <w:r>
        <w:rPr>
          <w:spacing w:val="-55"/>
        </w:rPr>
        <w:t> </w:t>
      </w:r>
      <w:r>
        <w:rPr/>
        <w:t>..............................................E-12</w:t>
      </w:r>
    </w:p>
    <w:p>
      <w:pPr>
        <w:pStyle w:val="ListParagraph"/>
        <w:numPr>
          <w:ilvl w:val="0"/>
          <w:numId w:val="19"/>
        </w:numPr>
        <w:tabs>
          <w:tab w:pos="820" w:val="left" w:leader="none"/>
        </w:tabs>
        <w:spacing w:line="240" w:lineRule="auto" w:before="0" w:after="0"/>
        <w:ind w:left="820" w:right="0" w:hanging="540"/>
        <w:jc w:val="both"/>
        <w:rPr>
          <w:sz w:val="24"/>
        </w:rPr>
      </w:pPr>
      <w:r>
        <w:rPr>
          <w:sz w:val="24"/>
        </w:rPr>
        <w:t>Chronic Whole Effluent Toxicity Testing</w:t>
      </w:r>
      <w:r>
        <w:rPr>
          <w:spacing w:val="-4"/>
          <w:sz w:val="24"/>
        </w:rPr>
        <w:t> </w:t>
      </w:r>
      <w:r>
        <w:rPr>
          <w:sz w:val="24"/>
        </w:rPr>
        <w:t>Requirements......................................E-13</w:t>
      </w:r>
    </w:p>
    <w:p>
      <w:pPr>
        <w:pStyle w:val="ListParagraph"/>
        <w:numPr>
          <w:ilvl w:val="1"/>
          <w:numId w:val="19"/>
        </w:numPr>
        <w:tabs>
          <w:tab w:pos="1000" w:val="left" w:leader="none"/>
        </w:tabs>
        <w:spacing w:line="292" w:lineRule="auto" w:before="60" w:after="0"/>
        <w:ind w:left="524" w:right="1008" w:firstLine="0"/>
        <w:jc w:val="both"/>
        <w:rPr>
          <w:sz w:val="24"/>
        </w:rPr>
      </w:pPr>
      <w:r>
        <w:rPr>
          <w:sz w:val="24"/>
        </w:rPr>
        <w:t>Discharge In-stream Waste Concentration (IWC) for Chronic Toxicity</w:t>
      </w:r>
      <w:r>
        <w:rPr>
          <w:spacing w:val="-42"/>
          <w:sz w:val="24"/>
        </w:rPr>
        <w:t> </w:t>
      </w:r>
      <w:r>
        <w:rPr>
          <w:sz w:val="24"/>
        </w:rPr>
        <w:t>............E-13 5.2. Sample Volume and Holding Time ..................................................................E-13 5.3. Chronic Freshwater Species and Test Method................................................E-13 5.4. Species Sensitivity Screening..........................................................................E-14 5.5. Quality Assurance and Additional Requirements.............................................E-14 5.6. Reporting</w:t>
      </w:r>
      <w:r>
        <w:rPr>
          <w:spacing w:val="-32"/>
          <w:sz w:val="24"/>
        </w:rPr>
        <w:t> </w:t>
      </w:r>
      <w:r>
        <w:rPr>
          <w:sz w:val="24"/>
        </w:rPr>
        <w:t>.........................................................................................................E-15</w:t>
      </w:r>
    </w:p>
    <w:p>
      <w:pPr>
        <w:pStyle w:val="BodyText"/>
        <w:spacing w:before="9"/>
        <w:rPr>
          <w:sz w:val="28"/>
        </w:rPr>
      </w:pPr>
    </w:p>
    <w:p>
      <w:pPr>
        <w:pStyle w:val="Heading1"/>
        <w:spacing w:before="1"/>
        <w:ind w:left="1209" w:right="1947"/>
        <w:jc w:val="center"/>
      </w:pPr>
      <w:r>
        <w:rPr/>
        <w:t>TABLE OF TABLES</w:t>
      </w:r>
    </w:p>
    <w:p>
      <w:pPr>
        <w:pStyle w:val="BodyText"/>
        <w:spacing w:before="9"/>
        <w:rPr>
          <w:b/>
          <w:sz w:val="20"/>
        </w:rPr>
      </w:pPr>
    </w:p>
    <w:p>
      <w:pPr>
        <w:pStyle w:val="BodyText"/>
        <w:spacing w:before="1"/>
        <w:ind w:left="280"/>
      </w:pPr>
      <w:r>
        <w:rPr/>
        <w:t>Table E-1. Reporting Schedule</w:t>
      </w:r>
      <w:r>
        <w:rPr>
          <w:spacing w:val="-45"/>
        </w:rPr>
        <w:t> </w:t>
      </w:r>
      <w:r>
        <w:rPr/>
        <w:t>..................................................................................E-10</w:t>
      </w:r>
    </w:p>
    <w:p>
      <w:pPr>
        <w:pStyle w:val="BodyText"/>
        <w:ind w:left="280"/>
      </w:pPr>
      <w:r>
        <w:rPr/>
        <w:t>Table E-2. U.S. EPA Methods and Test Acceptability Criteria</w:t>
      </w:r>
      <w:r>
        <w:rPr>
          <w:spacing w:val="-36"/>
        </w:rPr>
        <w:t> </w:t>
      </w:r>
      <w:r>
        <w:rPr/>
        <w:t>...................................E-15</w:t>
      </w:r>
    </w:p>
    <w:p>
      <w:pPr>
        <w:spacing w:after="0"/>
        <w:sectPr>
          <w:headerReference w:type="default" r:id="rId56"/>
          <w:footerReference w:type="default" r:id="rId57"/>
          <w:pgSz w:w="12240" w:h="15840"/>
          <w:pgMar w:header="728" w:footer="788" w:top="1540" w:bottom="980" w:left="1160" w:right="420"/>
          <w:pgNumType w:start="1"/>
        </w:sectPr>
      </w:pPr>
    </w:p>
    <w:p>
      <w:pPr>
        <w:pStyle w:val="BodyText"/>
        <w:spacing w:before="11"/>
        <w:rPr>
          <w:sz w:val="15"/>
        </w:rPr>
      </w:pPr>
    </w:p>
    <w:p>
      <w:pPr>
        <w:pStyle w:val="BodyText"/>
        <w:spacing w:before="92"/>
        <w:ind w:left="279" w:right="1103"/>
      </w:pPr>
      <w:r>
        <w:rPr/>
        <w:t>Section 308 of the federal Clean Water Act (CWA) and sections 122.41(h), (j)-(l), 122.44(i), and 122.48 of title 40 of the Code of Federal Regulations (40 CFR) require that all NPDES permits specify monitoring and reporting requirements. California Water Code (CWC) section 13383 also authorizes the Los Angeles Water Board to establish monitoring, reporting, and recordkeeping requirements. This MRP establishes monitoring, reporting, and recordkeeping requirements that implement the federal and California laws and/or regulations.</w:t>
      </w:r>
    </w:p>
    <w:p>
      <w:pPr>
        <w:pStyle w:val="BodyText"/>
        <w:spacing w:before="10"/>
        <w:rPr>
          <w:sz w:val="20"/>
        </w:rPr>
      </w:pPr>
    </w:p>
    <w:p>
      <w:pPr>
        <w:pStyle w:val="Heading1"/>
        <w:numPr>
          <w:ilvl w:val="0"/>
          <w:numId w:val="20"/>
        </w:numPr>
        <w:tabs>
          <w:tab w:pos="640" w:val="left" w:leader="none"/>
        </w:tabs>
        <w:spacing w:line="240" w:lineRule="auto" w:before="0" w:after="0"/>
        <w:ind w:left="639" w:right="0" w:hanging="361"/>
        <w:jc w:val="left"/>
      </w:pPr>
      <w:r>
        <w:rPr/>
        <w:t>PURPOSE.</w:t>
      </w:r>
    </w:p>
    <w:p>
      <w:pPr>
        <w:pStyle w:val="BodyText"/>
        <w:spacing w:before="10"/>
        <w:rPr>
          <w:b/>
          <w:sz w:val="20"/>
        </w:rPr>
      </w:pPr>
    </w:p>
    <w:p>
      <w:pPr>
        <w:pStyle w:val="ListParagraph"/>
        <w:numPr>
          <w:ilvl w:val="1"/>
          <w:numId w:val="20"/>
        </w:numPr>
        <w:tabs>
          <w:tab w:pos="871" w:val="left" w:leader="none"/>
        </w:tabs>
        <w:spacing w:line="240" w:lineRule="auto" w:before="0" w:after="0"/>
        <w:ind w:left="870" w:right="0" w:hanging="592"/>
        <w:jc w:val="left"/>
        <w:rPr>
          <w:b/>
          <w:sz w:val="24"/>
        </w:rPr>
      </w:pPr>
      <w:r>
        <w:rPr>
          <w:b/>
          <w:sz w:val="24"/>
        </w:rPr>
        <w:t>General Objectives.</w:t>
      </w:r>
    </w:p>
    <w:p>
      <w:pPr>
        <w:pStyle w:val="BodyText"/>
        <w:rPr>
          <w:b/>
        </w:rPr>
      </w:pPr>
    </w:p>
    <w:p>
      <w:pPr>
        <w:pStyle w:val="BodyText"/>
        <w:spacing w:before="1"/>
        <w:ind w:left="870"/>
      </w:pPr>
      <w:r>
        <w:rPr/>
        <w:t>The general objectives of the MRP are to:</w:t>
      </w:r>
    </w:p>
    <w:p>
      <w:pPr>
        <w:pStyle w:val="BodyText"/>
        <w:spacing w:before="9"/>
        <w:rPr>
          <w:sz w:val="20"/>
        </w:rPr>
      </w:pPr>
    </w:p>
    <w:p>
      <w:pPr>
        <w:pStyle w:val="ListParagraph"/>
        <w:numPr>
          <w:ilvl w:val="2"/>
          <w:numId w:val="20"/>
        </w:numPr>
        <w:tabs>
          <w:tab w:pos="1100" w:val="left" w:leader="none"/>
          <w:tab w:pos="1101" w:val="left" w:leader="none"/>
        </w:tabs>
        <w:spacing w:line="240" w:lineRule="auto" w:before="1" w:after="0"/>
        <w:ind w:left="1100" w:right="1435" w:hanging="821"/>
        <w:jc w:val="left"/>
        <w:rPr>
          <w:sz w:val="24"/>
        </w:rPr>
      </w:pPr>
      <w:r>
        <w:rPr>
          <w:sz w:val="24"/>
        </w:rPr>
        <w:t>Assess</w:t>
      </w:r>
      <w:r>
        <w:rPr>
          <w:spacing w:val="-5"/>
          <w:sz w:val="24"/>
        </w:rPr>
        <w:t> </w:t>
      </w:r>
      <w:r>
        <w:rPr>
          <w:sz w:val="24"/>
        </w:rPr>
        <w:t>the</w:t>
      </w:r>
      <w:r>
        <w:rPr>
          <w:spacing w:val="-5"/>
          <w:sz w:val="24"/>
        </w:rPr>
        <w:t> </w:t>
      </w:r>
      <w:r>
        <w:rPr>
          <w:sz w:val="24"/>
        </w:rPr>
        <w:t>chemical,</w:t>
      </w:r>
      <w:r>
        <w:rPr>
          <w:spacing w:val="-5"/>
          <w:sz w:val="24"/>
        </w:rPr>
        <w:t> </w:t>
      </w:r>
      <w:r>
        <w:rPr>
          <w:sz w:val="24"/>
        </w:rPr>
        <w:t>physical,</w:t>
      </w:r>
      <w:r>
        <w:rPr>
          <w:spacing w:val="-5"/>
          <w:sz w:val="24"/>
        </w:rPr>
        <w:t> </w:t>
      </w:r>
      <w:r>
        <w:rPr>
          <w:sz w:val="24"/>
        </w:rPr>
        <w:t>and</w:t>
      </w:r>
      <w:r>
        <w:rPr>
          <w:spacing w:val="-5"/>
          <w:sz w:val="24"/>
        </w:rPr>
        <w:t> </w:t>
      </w:r>
      <w:r>
        <w:rPr>
          <w:sz w:val="24"/>
        </w:rPr>
        <w:t>biological</w:t>
      </w:r>
      <w:r>
        <w:rPr>
          <w:spacing w:val="-4"/>
          <w:sz w:val="24"/>
        </w:rPr>
        <w:t> </w:t>
      </w:r>
      <w:r>
        <w:rPr>
          <w:sz w:val="24"/>
        </w:rPr>
        <w:t>impacts</w:t>
      </w:r>
      <w:r>
        <w:rPr>
          <w:spacing w:val="-5"/>
          <w:sz w:val="24"/>
        </w:rPr>
        <w:t> </w:t>
      </w:r>
      <w:r>
        <w:rPr>
          <w:sz w:val="24"/>
        </w:rPr>
        <w:t>of</w:t>
      </w:r>
      <w:r>
        <w:rPr>
          <w:spacing w:val="-5"/>
          <w:sz w:val="24"/>
        </w:rPr>
        <w:t> </w:t>
      </w:r>
      <w:r>
        <w:rPr>
          <w:sz w:val="24"/>
        </w:rPr>
        <w:t>discharges</w:t>
      </w:r>
      <w:r>
        <w:rPr>
          <w:spacing w:val="-5"/>
          <w:sz w:val="24"/>
        </w:rPr>
        <w:t> </w:t>
      </w:r>
      <w:r>
        <w:rPr>
          <w:sz w:val="24"/>
        </w:rPr>
        <w:t>from</w:t>
      </w:r>
      <w:r>
        <w:rPr>
          <w:spacing w:val="-5"/>
          <w:sz w:val="24"/>
        </w:rPr>
        <w:t> </w:t>
      </w:r>
      <w:r>
        <w:rPr>
          <w:sz w:val="24"/>
        </w:rPr>
        <w:t>the Discharger’s facility on the receiving</w:t>
      </w:r>
      <w:r>
        <w:rPr>
          <w:spacing w:val="-3"/>
          <w:sz w:val="24"/>
        </w:rPr>
        <w:t> </w:t>
      </w:r>
      <w:r>
        <w:rPr>
          <w:sz w:val="24"/>
        </w:rPr>
        <w:t>waters.</w:t>
      </w:r>
    </w:p>
    <w:p>
      <w:pPr>
        <w:pStyle w:val="BodyText"/>
        <w:spacing w:before="9"/>
        <w:rPr>
          <w:sz w:val="20"/>
        </w:rPr>
      </w:pPr>
    </w:p>
    <w:p>
      <w:pPr>
        <w:pStyle w:val="ListParagraph"/>
        <w:numPr>
          <w:ilvl w:val="2"/>
          <w:numId w:val="20"/>
        </w:numPr>
        <w:tabs>
          <w:tab w:pos="1100" w:val="left" w:leader="none"/>
          <w:tab w:pos="1101" w:val="left" w:leader="none"/>
        </w:tabs>
        <w:spacing w:line="240" w:lineRule="auto" w:before="1" w:after="0"/>
        <w:ind w:left="1100" w:right="1288" w:hanging="821"/>
        <w:jc w:val="left"/>
        <w:rPr>
          <w:sz w:val="24"/>
        </w:rPr>
      </w:pPr>
      <w:r>
        <w:rPr>
          <w:sz w:val="24"/>
        </w:rPr>
        <w:t>Assess</w:t>
      </w:r>
      <w:r>
        <w:rPr>
          <w:spacing w:val="-6"/>
          <w:sz w:val="24"/>
        </w:rPr>
        <w:t> </w:t>
      </w:r>
      <w:r>
        <w:rPr>
          <w:sz w:val="24"/>
        </w:rPr>
        <w:t>compliance</w:t>
      </w:r>
      <w:r>
        <w:rPr>
          <w:spacing w:val="-6"/>
          <w:sz w:val="24"/>
        </w:rPr>
        <w:t> </w:t>
      </w:r>
      <w:r>
        <w:rPr>
          <w:sz w:val="24"/>
        </w:rPr>
        <w:t>with</w:t>
      </w:r>
      <w:r>
        <w:rPr>
          <w:spacing w:val="-6"/>
          <w:sz w:val="24"/>
        </w:rPr>
        <w:t> </w:t>
      </w:r>
      <w:r>
        <w:rPr>
          <w:sz w:val="24"/>
        </w:rPr>
        <w:t>discharge</w:t>
      </w:r>
      <w:r>
        <w:rPr>
          <w:spacing w:val="-5"/>
          <w:sz w:val="24"/>
        </w:rPr>
        <w:t> </w:t>
      </w:r>
      <w:r>
        <w:rPr>
          <w:sz w:val="24"/>
        </w:rPr>
        <w:t>prohibitions</w:t>
      </w:r>
      <w:r>
        <w:rPr>
          <w:spacing w:val="-5"/>
          <w:sz w:val="24"/>
        </w:rPr>
        <w:t> </w:t>
      </w:r>
      <w:r>
        <w:rPr>
          <w:sz w:val="24"/>
        </w:rPr>
        <w:t>and</w:t>
      </w:r>
      <w:r>
        <w:rPr>
          <w:spacing w:val="-6"/>
          <w:sz w:val="24"/>
        </w:rPr>
        <w:t> </w:t>
      </w:r>
      <w:r>
        <w:rPr>
          <w:sz w:val="24"/>
        </w:rPr>
        <w:t>effluent</w:t>
      </w:r>
      <w:r>
        <w:rPr>
          <w:spacing w:val="-6"/>
          <w:sz w:val="24"/>
        </w:rPr>
        <w:t> </w:t>
      </w:r>
      <w:r>
        <w:rPr>
          <w:sz w:val="24"/>
        </w:rPr>
        <w:t>limitations</w:t>
      </w:r>
      <w:r>
        <w:rPr>
          <w:spacing w:val="-6"/>
          <w:sz w:val="24"/>
        </w:rPr>
        <w:t> </w:t>
      </w:r>
      <w:r>
        <w:rPr>
          <w:sz w:val="24"/>
        </w:rPr>
        <w:t>and</w:t>
      </w:r>
      <w:r>
        <w:rPr>
          <w:spacing w:val="-6"/>
          <w:sz w:val="24"/>
        </w:rPr>
        <w:t> </w:t>
      </w:r>
      <w:r>
        <w:rPr>
          <w:sz w:val="24"/>
        </w:rPr>
        <w:t>the requirements of the Discharger’s selected compliance</w:t>
      </w:r>
      <w:r>
        <w:rPr>
          <w:spacing w:val="-8"/>
          <w:sz w:val="24"/>
        </w:rPr>
        <w:t> </w:t>
      </w:r>
      <w:r>
        <w:rPr>
          <w:sz w:val="24"/>
        </w:rPr>
        <w:t>option.</w:t>
      </w:r>
    </w:p>
    <w:p>
      <w:pPr>
        <w:pStyle w:val="BodyText"/>
        <w:spacing w:before="9"/>
        <w:rPr>
          <w:sz w:val="20"/>
        </w:rPr>
      </w:pPr>
    </w:p>
    <w:p>
      <w:pPr>
        <w:pStyle w:val="ListParagraph"/>
        <w:numPr>
          <w:ilvl w:val="2"/>
          <w:numId w:val="20"/>
        </w:numPr>
        <w:tabs>
          <w:tab w:pos="1100" w:val="left" w:leader="none"/>
          <w:tab w:pos="1101" w:val="left" w:leader="none"/>
        </w:tabs>
        <w:spacing w:line="240" w:lineRule="auto" w:before="1" w:after="0"/>
        <w:ind w:left="1100" w:right="0" w:hanging="822"/>
        <w:jc w:val="left"/>
        <w:rPr>
          <w:sz w:val="24"/>
        </w:rPr>
      </w:pPr>
      <w:r>
        <w:rPr>
          <w:sz w:val="24"/>
        </w:rPr>
        <w:t>Characterize pollutant loads from the permitted</w:t>
      </w:r>
      <w:r>
        <w:rPr>
          <w:spacing w:val="-5"/>
          <w:sz w:val="24"/>
        </w:rPr>
        <w:t> </w:t>
      </w:r>
      <w:r>
        <w:rPr>
          <w:sz w:val="24"/>
        </w:rPr>
        <w:t>discharges.</w:t>
      </w:r>
    </w:p>
    <w:p>
      <w:pPr>
        <w:pStyle w:val="BodyText"/>
        <w:spacing w:before="10"/>
        <w:rPr>
          <w:sz w:val="20"/>
        </w:rPr>
      </w:pPr>
    </w:p>
    <w:p>
      <w:pPr>
        <w:pStyle w:val="ListParagraph"/>
        <w:numPr>
          <w:ilvl w:val="2"/>
          <w:numId w:val="20"/>
        </w:numPr>
        <w:tabs>
          <w:tab w:pos="1100" w:val="left" w:leader="none"/>
          <w:tab w:pos="1101" w:val="left" w:leader="none"/>
        </w:tabs>
        <w:spacing w:line="240" w:lineRule="auto" w:before="0" w:after="0"/>
        <w:ind w:left="1100" w:right="0" w:hanging="822"/>
        <w:jc w:val="left"/>
        <w:rPr>
          <w:sz w:val="24"/>
        </w:rPr>
      </w:pPr>
      <w:r>
        <w:rPr>
          <w:sz w:val="24"/>
        </w:rPr>
        <w:t>Identify sources of pollutants in the permitted</w:t>
      </w:r>
      <w:r>
        <w:rPr>
          <w:spacing w:val="-5"/>
          <w:sz w:val="24"/>
        </w:rPr>
        <w:t> </w:t>
      </w:r>
      <w:r>
        <w:rPr>
          <w:sz w:val="24"/>
        </w:rPr>
        <w:t>discharges.</w:t>
      </w:r>
    </w:p>
    <w:p>
      <w:pPr>
        <w:pStyle w:val="BodyText"/>
        <w:spacing w:before="10"/>
        <w:rPr>
          <w:sz w:val="20"/>
        </w:rPr>
      </w:pPr>
    </w:p>
    <w:p>
      <w:pPr>
        <w:pStyle w:val="ListParagraph"/>
        <w:numPr>
          <w:ilvl w:val="2"/>
          <w:numId w:val="20"/>
        </w:numPr>
        <w:tabs>
          <w:tab w:pos="1100" w:val="left" w:leader="none"/>
          <w:tab w:pos="1101" w:val="left" w:leader="none"/>
        </w:tabs>
        <w:spacing w:line="240" w:lineRule="auto" w:before="0" w:after="0"/>
        <w:ind w:left="1100" w:right="1699" w:hanging="821"/>
        <w:jc w:val="left"/>
        <w:rPr>
          <w:sz w:val="24"/>
        </w:rPr>
      </w:pPr>
      <w:r>
        <w:rPr>
          <w:sz w:val="24"/>
        </w:rPr>
        <w:t>Assess the overall health and evaluate long-term trends in receiving water quality.</w:t>
      </w:r>
    </w:p>
    <w:p>
      <w:pPr>
        <w:pStyle w:val="BodyText"/>
        <w:spacing w:before="10"/>
        <w:rPr>
          <w:sz w:val="20"/>
        </w:rPr>
      </w:pPr>
    </w:p>
    <w:p>
      <w:pPr>
        <w:pStyle w:val="ListParagraph"/>
        <w:numPr>
          <w:ilvl w:val="2"/>
          <w:numId w:val="20"/>
        </w:numPr>
        <w:tabs>
          <w:tab w:pos="1100" w:val="left" w:leader="none"/>
          <w:tab w:pos="1101" w:val="left" w:leader="none"/>
        </w:tabs>
        <w:spacing w:line="240" w:lineRule="auto" w:before="0" w:after="0"/>
        <w:ind w:left="1100" w:right="1100" w:hanging="821"/>
        <w:jc w:val="left"/>
        <w:rPr>
          <w:sz w:val="24"/>
        </w:rPr>
      </w:pPr>
      <w:r>
        <w:rPr>
          <w:sz w:val="24"/>
        </w:rPr>
        <w:t>Measure</w:t>
      </w:r>
      <w:r>
        <w:rPr>
          <w:spacing w:val="-6"/>
          <w:sz w:val="24"/>
        </w:rPr>
        <w:t> </w:t>
      </w:r>
      <w:r>
        <w:rPr>
          <w:sz w:val="24"/>
        </w:rPr>
        <w:t>and</w:t>
      </w:r>
      <w:r>
        <w:rPr>
          <w:spacing w:val="-6"/>
          <w:sz w:val="24"/>
        </w:rPr>
        <w:t> </w:t>
      </w:r>
      <w:r>
        <w:rPr>
          <w:sz w:val="24"/>
        </w:rPr>
        <w:t>improve</w:t>
      </w:r>
      <w:r>
        <w:rPr>
          <w:spacing w:val="-6"/>
          <w:sz w:val="24"/>
        </w:rPr>
        <w:t> </w:t>
      </w:r>
      <w:r>
        <w:rPr>
          <w:sz w:val="24"/>
        </w:rPr>
        <w:t>the</w:t>
      </w:r>
      <w:r>
        <w:rPr>
          <w:spacing w:val="-6"/>
          <w:sz w:val="24"/>
        </w:rPr>
        <w:t> </w:t>
      </w:r>
      <w:r>
        <w:rPr>
          <w:sz w:val="24"/>
        </w:rPr>
        <w:t>effectiveness</w:t>
      </w:r>
      <w:r>
        <w:rPr>
          <w:spacing w:val="-5"/>
          <w:sz w:val="24"/>
        </w:rPr>
        <w:t> </w:t>
      </w:r>
      <w:r>
        <w:rPr>
          <w:sz w:val="24"/>
        </w:rPr>
        <w:t>of</w:t>
      </w:r>
      <w:r>
        <w:rPr>
          <w:spacing w:val="-6"/>
          <w:sz w:val="24"/>
        </w:rPr>
        <w:t> </w:t>
      </w:r>
      <w:r>
        <w:rPr>
          <w:sz w:val="24"/>
        </w:rPr>
        <w:t>pollutant</w:t>
      </w:r>
      <w:r>
        <w:rPr>
          <w:spacing w:val="-6"/>
          <w:sz w:val="24"/>
        </w:rPr>
        <w:t> </w:t>
      </w:r>
      <w:r>
        <w:rPr>
          <w:sz w:val="24"/>
        </w:rPr>
        <w:t>controls</w:t>
      </w:r>
      <w:r>
        <w:rPr>
          <w:spacing w:val="-6"/>
          <w:sz w:val="24"/>
        </w:rPr>
        <w:t> </w:t>
      </w:r>
      <w:r>
        <w:rPr>
          <w:sz w:val="24"/>
        </w:rPr>
        <w:t>implemented</w:t>
      </w:r>
      <w:r>
        <w:rPr>
          <w:spacing w:val="-5"/>
          <w:sz w:val="24"/>
        </w:rPr>
        <w:t> </w:t>
      </w:r>
      <w:r>
        <w:rPr>
          <w:sz w:val="24"/>
        </w:rPr>
        <w:t>under this General Permit.</w:t>
      </w:r>
    </w:p>
    <w:p>
      <w:pPr>
        <w:pStyle w:val="BodyText"/>
        <w:spacing w:before="9"/>
        <w:rPr>
          <w:sz w:val="20"/>
        </w:rPr>
      </w:pPr>
    </w:p>
    <w:p>
      <w:pPr>
        <w:pStyle w:val="Heading1"/>
        <w:numPr>
          <w:ilvl w:val="0"/>
          <w:numId w:val="20"/>
        </w:numPr>
        <w:tabs>
          <w:tab w:pos="640" w:val="left" w:leader="none"/>
        </w:tabs>
        <w:spacing w:line="240" w:lineRule="auto" w:before="0" w:after="0"/>
        <w:ind w:left="639" w:right="0" w:hanging="361"/>
        <w:jc w:val="left"/>
      </w:pPr>
      <w:r>
        <w:rPr/>
        <w:t>MONITORING REQUIREMENTS – COMPLIANCE OPTIONS 2 AND</w:t>
      </w:r>
      <w:r>
        <w:rPr>
          <w:spacing w:val="-5"/>
        </w:rPr>
        <w:t> </w:t>
      </w:r>
      <w:r>
        <w:rPr/>
        <w:t>3.</w:t>
      </w:r>
    </w:p>
    <w:p>
      <w:pPr>
        <w:pStyle w:val="BodyText"/>
        <w:rPr>
          <w:b/>
        </w:rPr>
      </w:pPr>
    </w:p>
    <w:p>
      <w:pPr>
        <w:pStyle w:val="BodyText"/>
        <w:ind w:left="639" w:right="1573"/>
        <w:jc w:val="both"/>
      </w:pPr>
      <w:r>
        <w:rPr/>
        <w:t>Dischargers that choose to implement Compliance Option 2 or 3 are required to complete the following monitoring activities to demonstrate compliance with the applicable effluent limitations and other requirements in the Order.</w:t>
      </w:r>
    </w:p>
    <w:p>
      <w:pPr>
        <w:pStyle w:val="BodyText"/>
        <w:spacing w:before="10"/>
        <w:rPr>
          <w:sz w:val="20"/>
        </w:rPr>
      </w:pPr>
    </w:p>
    <w:p>
      <w:pPr>
        <w:pStyle w:val="Heading1"/>
        <w:numPr>
          <w:ilvl w:val="1"/>
          <w:numId w:val="20"/>
        </w:numPr>
        <w:tabs>
          <w:tab w:pos="871" w:val="left" w:leader="none"/>
        </w:tabs>
        <w:spacing w:line="240" w:lineRule="auto" w:before="0" w:after="0"/>
        <w:ind w:left="870" w:right="2095" w:hanging="591"/>
        <w:jc w:val="left"/>
      </w:pPr>
      <w:r>
        <w:rPr/>
        <w:t>Compliance Option 2 – Facility-Specific Design Standard to</w:t>
      </w:r>
      <w:r>
        <w:rPr>
          <w:spacing w:val="-45"/>
        </w:rPr>
        <w:t> </w:t>
      </w:r>
      <w:r>
        <w:rPr/>
        <w:t>Reduce Stormwater</w:t>
      </w:r>
      <w:r>
        <w:rPr>
          <w:spacing w:val="-1"/>
        </w:rPr>
        <w:t> </w:t>
      </w:r>
      <w:r>
        <w:rPr/>
        <w:t>Runoff.</w:t>
      </w:r>
    </w:p>
    <w:p>
      <w:pPr>
        <w:pStyle w:val="BodyText"/>
        <w:rPr>
          <w:b/>
        </w:rPr>
      </w:pPr>
    </w:p>
    <w:p>
      <w:pPr>
        <w:pStyle w:val="BodyText"/>
        <w:ind w:left="870" w:right="1045"/>
      </w:pPr>
      <w:r>
        <w:rPr/>
        <w:t>The Discharger shall visually inspect and evaluate the installed design standard(s) every reporting year to ensure that the control is operating effectively and</w:t>
      </w:r>
    </w:p>
    <w:p>
      <w:pPr>
        <w:spacing w:after="0"/>
        <w:sectPr>
          <w:pgSz w:w="12240" w:h="15840"/>
          <w:pgMar w:header="728" w:footer="788" w:top="1540" w:bottom="980" w:left="1160" w:right="420"/>
        </w:sectPr>
      </w:pPr>
    </w:p>
    <w:p>
      <w:pPr>
        <w:pStyle w:val="BodyText"/>
        <w:spacing w:before="11"/>
        <w:rPr>
          <w:sz w:val="15"/>
        </w:rPr>
      </w:pPr>
    </w:p>
    <w:p>
      <w:pPr>
        <w:pStyle w:val="BodyText"/>
        <w:spacing w:before="92"/>
        <w:ind w:left="870" w:right="1898"/>
      </w:pPr>
      <w:r>
        <w:rPr/>
        <w:t>consistent with the design standard(s) and that necessary and appropriate maintenance is being performed.</w:t>
      </w:r>
    </w:p>
    <w:p>
      <w:pPr>
        <w:pStyle w:val="BodyText"/>
        <w:spacing w:before="10"/>
        <w:rPr>
          <w:sz w:val="20"/>
        </w:rPr>
      </w:pPr>
    </w:p>
    <w:p>
      <w:pPr>
        <w:pStyle w:val="Heading1"/>
        <w:numPr>
          <w:ilvl w:val="1"/>
          <w:numId w:val="20"/>
        </w:numPr>
        <w:tabs>
          <w:tab w:pos="871" w:val="left" w:leader="none"/>
        </w:tabs>
        <w:spacing w:line="240" w:lineRule="auto" w:before="0" w:after="0"/>
        <w:ind w:left="870" w:right="1455" w:hanging="591"/>
        <w:jc w:val="left"/>
      </w:pPr>
      <w:r>
        <w:rPr/>
        <w:t>Compliance Option 3 – Direct Demonstration of Compliance with</w:t>
      </w:r>
      <w:r>
        <w:rPr>
          <w:spacing w:val="-42"/>
        </w:rPr>
        <w:t> </w:t>
      </w:r>
      <w:r>
        <w:rPr/>
        <w:t>Effluent Limitations.</w:t>
      </w:r>
    </w:p>
    <w:p>
      <w:pPr>
        <w:pStyle w:val="BodyText"/>
        <w:spacing w:before="10"/>
        <w:rPr>
          <w:b/>
          <w:sz w:val="20"/>
        </w:rPr>
      </w:pPr>
    </w:p>
    <w:p>
      <w:pPr>
        <w:pStyle w:val="ListParagraph"/>
        <w:numPr>
          <w:ilvl w:val="2"/>
          <w:numId w:val="20"/>
        </w:numPr>
        <w:tabs>
          <w:tab w:pos="1100" w:val="left" w:leader="none"/>
          <w:tab w:pos="1101" w:val="left" w:leader="none"/>
        </w:tabs>
        <w:spacing w:line="240" w:lineRule="auto" w:before="0" w:after="0"/>
        <w:ind w:left="1100" w:right="0" w:hanging="821"/>
        <w:jc w:val="left"/>
        <w:rPr>
          <w:b/>
          <w:sz w:val="24"/>
        </w:rPr>
      </w:pPr>
      <w:r>
        <w:rPr>
          <w:b/>
          <w:sz w:val="24"/>
        </w:rPr>
        <w:t>Site-Specific Monitoring Implementation</w:t>
      </w:r>
      <w:r>
        <w:rPr>
          <w:b/>
          <w:spacing w:val="-1"/>
          <w:sz w:val="24"/>
        </w:rPr>
        <w:t> </w:t>
      </w:r>
      <w:r>
        <w:rPr>
          <w:b/>
          <w:sz w:val="24"/>
        </w:rPr>
        <w:t>Plan.</w:t>
      </w:r>
    </w:p>
    <w:p>
      <w:pPr>
        <w:pStyle w:val="BodyText"/>
        <w:spacing w:before="10"/>
        <w:rPr>
          <w:b/>
          <w:sz w:val="20"/>
        </w:rPr>
      </w:pPr>
    </w:p>
    <w:p>
      <w:pPr>
        <w:pStyle w:val="ListParagraph"/>
        <w:numPr>
          <w:ilvl w:val="3"/>
          <w:numId w:val="20"/>
        </w:numPr>
        <w:tabs>
          <w:tab w:pos="1359" w:val="left" w:leader="none"/>
          <w:tab w:pos="1360" w:val="left" w:leader="none"/>
        </w:tabs>
        <w:spacing w:line="240" w:lineRule="auto" w:before="0" w:after="0"/>
        <w:ind w:left="1360" w:right="1267" w:hanging="1080"/>
        <w:jc w:val="left"/>
        <w:rPr>
          <w:sz w:val="24"/>
        </w:rPr>
      </w:pPr>
      <w:r>
        <w:rPr>
          <w:sz w:val="24"/>
        </w:rPr>
        <w:t>The Discharger shall develop and implement a site-specific Monitoring Implementation Plan. The Monitoring Implementation Plan shall be</w:t>
      </w:r>
      <w:r>
        <w:rPr>
          <w:spacing w:val="-37"/>
          <w:sz w:val="24"/>
        </w:rPr>
        <w:t> </w:t>
      </w:r>
      <w:r>
        <w:rPr>
          <w:sz w:val="24"/>
        </w:rPr>
        <w:t>included in the Discharger’s site-specific Stormwater Pollution Prevention Plan, and shall include the following</w:t>
      </w:r>
      <w:r>
        <w:rPr>
          <w:spacing w:val="-2"/>
          <w:sz w:val="24"/>
        </w:rPr>
        <w:t> </w:t>
      </w:r>
      <w:r>
        <w:rPr>
          <w:sz w:val="24"/>
        </w:rPr>
        <w:t>items:</w:t>
      </w:r>
    </w:p>
    <w:p>
      <w:pPr>
        <w:pStyle w:val="BodyText"/>
        <w:spacing w:before="10"/>
        <w:rPr>
          <w:sz w:val="20"/>
        </w:rPr>
      </w:pPr>
    </w:p>
    <w:p>
      <w:pPr>
        <w:pStyle w:val="ListParagraph"/>
        <w:numPr>
          <w:ilvl w:val="4"/>
          <w:numId w:val="20"/>
        </w:numPr>
        <w:tabs>
          <w:tab w:pos="1574" w:val="left" w:leader="none"/>
          <w:tab w:pos="1575" w:val="left" w:leader="none"/>
        </w:tabs>
        <w:spacing w:line="240" w:lineRule="auto" w:before="1" w:after="0"/>
        <w:ind w:left="1574" w:right="0" w:hanging="1295"/>
        <w:jc w:val="left"/>
        <w:rPr>
          <w:sz w:val="24"/>
        </w:rPr>
      </w:pPr>
      <w:r>
        <w:rPr>
          <w:sz w:val="24"/>
        </w:rPr>
        <w:t>Identification of personnel assigned to conduct the monitoring</w:t>
      </w:r>
      <w:r>
        <w:rPr>
          <w:spacing w:val="-7"/>
          <w:sz w:val="24"/>
        </w:rPr>
        <w:t> </w:t>
      </w:r>
      <w:r>
        <w:rPr>
          <w:sz w:val="24"/>
        </w:rPr>
        <w:t>requirements.</w:t>
      </w:r>
    </w:p>
    <w:p>
      <w:pPr>
        <w:pStyle w:val="BodyText"/>
        <w:spacing w:before="9"/>
        <w:rPr>
          <w:sz w:val="20"/>
        </w:rPr>
      </w:pPr>
    </w:p>
    <w:p>
      <w:pPr>
        <w:pStyle w:val="ListParagraph"/>
        <w:numPr>
          <w:ilvl w:val="4"/>
          <w:numId w:val="20"/>
        </w:numPr>
        <w:tabs>
          <w:tab w:pos="1574" w:val="left" w:leader="none"/>
          <w:tab w:pos="1575" w:val="left" w:leader="none"/>
        </w:tabs>
        <w:spacing w:line="240" w:lineRule="auto" w:before="1" w:after="0"/>
        <w:ind w:left="1574" w:right="0" w:hanging="1295"/>
        <w:jc w:val="left"/>
        <w:rPr>
          <w:sz w:val="24"/>
        </w:rPr>
      </w:pPr>
      <w:r>
        <w:rPr>
          <w:sz w:val="24"/>
        </w:rPr>
        <w:t>A detailed description of the</w:t>
      </w:r>
      <w:r>
        <w:rPr>
          <w:spacing w:val="-3"/>
          <w:sz w:val="24"/>
        </w:rPr>
        <w:t> </w:t>
      </w:r>
      <w:r>
        <w:rPr>
          <w:sz w:val="24"/>
        </w:rPr>
        <w:t>following:</w:t>
      </w:r>
    </w:p>
    <w:p>
      <w:pPr>
        <w:pStyle w:val="BodyText"/>
        <w:spacing w:before="9"/>
        <w:rPr>
          <w:sz w:val="20"/>
        </w:rPr>
      </w:pPr>
    </w:p>
    <w:p>
      <w:pPr>
        <w:pStyle w:val="ListParagraph"/>
        <w:numPr>
          <w:ilvl w:val="5"/>
          <w:numId w:val="20"/>
        </w:numPr>
        <w:tabs>
          <w:tab w:pos="1790" w:val="left" w:leader="none"/>
          <w:tab w:pos="1791" w:val="left" w:leader="none"/>
        </w:tabs>
        <w:spacing w:line="240" w:lineRule="auto" w:before="1" w:after="0"/>
        <w:ind w:left="1790" w:right="0" w:hanging="1511"/>
        <w:jc w:val="left"/>
        <w:rPr>
          <w:sz w:val="24"/>
        </w:rPr>
      </w:pPr>
      <w:r>
        <w:rPr>
          <w:sz w:val="24"/>
        </w:rPr>
        <w:t>Discharge location(s) (including latitude and</w:t>
      </w:r>
      <w:r>
        <w:rPr>
          <w:spacing w:val="-2"/>
          <w:sz w:val="24"/>
        </w:rPr>
        <w:t> </w:t>
      </w:r>
      <w:r>
        <w:rPr>
          <w:sz w:val="24"/>
        </w:rPr>
        <w:t>longitude);</w:t>
      </w:r>
    </w:p>
    <w:p>
      <w:pPr>
        <w:pStyle w:val="BodyText"/>
        <w:spacing w:before="9"/>
        <w:rPr>
          <w:sz w:val="20"/>
        </w:rPr>
      </w:pPr>
    </w:p>
    <w:p>
      <w:pPr>
        <w:pStyle w:val="ListParagraph"/>
        <w:numPr>
          <w:ilvl w:val="5"/>
          <w:numId w:val="20"/>
        </w:numPr>
        <w:tabs>
          <w:tab w:pos="1788" w:val="left" w:leader="none"/>
          <w:tab w:pos="1789" w:val="left" w:leader="none"/>
        </w:tabs>
        <w:spacing w:line="240" w:lineRule="auto" w:before="1" w:after="0"/>
        <w:ind w:left="1792" w:right="1034" w:hanging="1512"/>
        <w:jc w:val="left"/>
        <w:rPr>
          <w:sz w:val="24"/>
        </w:rPr>
      </w:pPr>
      <w:r>
        <w:rPr>
          <w:sz w:val="24"/>
        </w:rPr>
        <w:t>A list of the pollutants the Discharger is required to monitor, including the reason for the required monitoring (i.e., Tables 1-4 of the Order and Table I-1.);</w:t>
      </w:r>
    </w:p>
    <w:p>
      <w:pPr>
        <w:pStyle w:val="BodyText"/>
        <w:spacing w:before="10"/>
        <w:rPr>
          <w:sz w:val="20"/>
        </w:rPr>
      </w:pPr>
    </w:p>
    <w:p>
      <w:pPr>
        <w:pStyle w:val="ListParagraph"/>
        <w:numPr>
          <w:ilvl w:val="5"/>
          <w:numId w:val="20"/>
        </w:numPr>
        <w:tabs>
          <w:tab w:pos="1790" w:val="left" w:leader="none"/>
          <w:tab w:pos="1791" w:val="left" w:leader="none"/>
        </w:tabs>
        <w:spacing w:line="448" w:lineRule="auto" w:before="0" w:after="0"/>
        <w:ind w:left="280" w:right="5130" w:firstLine="0"/>
        <w:jc w:val="left"/>
        <w:rPr>
          <w:sz w:val="24"/>
        </w:rPr>
      </w:pPr>
      <w:r>
        <w:rPr>
          <w:sz w:val="24"/>
        </w:rPr>
        <w:t>Sampling and analysis procedures; 2.2.1.1.2.4.</w:t>
        <w:tab/>
        <w:t>Visual observation</w:t>
      </w:r>
      <w:r>
        <w:rPr>
          <w:spacing w:val="-6"/>
          <w:sz w:val="24"/>
        </w:rPr>
        <w:t> </w:t>
      </w:r>
      <w:r>
        <w:rPr>
          <w:sz w:val="24"/>
        </w:rPr>
        <w:t>procedures;</w:t>
      </w:r>
    </w:p>
    <w:p>
      <w:pPr>
        <w:pStyle w:val="ListParagraph"/>
        <w:numPr>
          <w:ilvl w:val="5"/>
          <w:numId w:val="21"/>
        </w:numPr>
        <w:tabs>
          <w:tab w:pos="1790" w:val="left" w:leader="none"/>
          <w:tab w:pos="1791" w:val="left" w:leader="none"/>
        </w:tabs>
        <w:spacing w:line="240" w:lineRule="auto" w:before="0" w:after="0"/>
        <w:ind w:left="1792" w:right="2077" w:hanging="1512"/>
        <w:jc w:val="left"/>
        <w:rPr>
          <w:sz w:val="24"/>
        </w:rPr>
      </w:pPr>
      <w:r>
        <w:rPr>
          <w:sz w:val="24"/>
        </w:rPr>
        <w:t>Procedures for field instrument calibration instructions, including calibration intervals specified by the manufacturer;</w:t>
      </w:r>
      <w:r>
        <w:rPr>
          <w:spacing w:val="-13"/>
          <w:sz w:val="24"/>
        </w:rPr>
        <w:t> </w:t>
      </w:r>
      <w:r>
        <w:rPr>
          <w:sz w:val="24"/>
        </w:rPr>
        <w:t>and,</w:t>
      </w:r>
    </w:p>
    <w:p>
      <w:pPr>
        <w:pStyle w:val="BodyText"/>
        <w:spacing w:before="9"/>
        <w:rPr>
          <w:sz w:val="20"/>
        </w:rPr>
      </w:pPr>
    </w:p>
    <w:p>
      <w:pPr>
        <w:pStyle w:val="ListParagraph"/>
        <w:numPr>
          <w:ilvl w:val="5"/>
          <w:numId w:val="21"/>
        </w:numPr>
        <w:tabs>
          <w:tab w:pos="1790" w:val="left" w:leader="none"/>
          <w:tab w:pos="1791" w:val="left" w:leader="none"/>
        </w:tabs>
        <w:spacing w:line="240" w:lineRule="auto" w:before="1" w:after="0"/>
        <w:ind w:left="1792" w:right="1516" w:hanging="1512"/>
        <w:jc w:val="left"/>
        <w:rPr>
          <w:sz w:val="24"/>
        </w:rPr>
      </w:pPr>
      <w:r>
        <w:rPr>
          <w:sz w:val="24"/>
        </w:rPr>
        <w:t>An example Chain of Custody form used when handling and shipping water quality samples to the</w:t>
      </w:r>
      <w:r>
        <w:rPr>
          <w:spacing w:val="-2"/>
          <w:sz w:val="24"/>
        </w:rPr>
        <w:t> </w:t>
      </w:r>
      <w:r>
        <w:rPr>
          <w:sz w:val="24"/>
        </w:rPr>
        <w:t>lab.</w:t>
      </w:r>
    </w:p>
    <w:p>
      <w:pPr>
        <w:pStyle w:val="BodyText"/>
        <w:spacing w:before="10"/>
        <w:rPr>
          <w:sz w:val="20"/>
        </w:rPr>
      </w:pPr>
    </w:p>
    <w:p>
      <w:pPr>
        <w:pStyle w:val="Heading1"/>
        <w:numPr>
          <w:ilvl w:val="2"/>
          <w:numId w:val="20"/>
        </w:numPr>
        <w:tabs>
          <w:tab w:pos="1100" w:val="left" w:leader="none"/>
          <w:tab w:pos="1101" w:val="left" w:leader="none"/>
        </w:tabs>
        <w:spacing w:line="240" w:lineRule="auto" w:before="0" w:after="0"/>
        <w:ind w:left="1100" w:right="0" w:hanging="821"/>
        <w:jc w:val="left"/>
      </w:pPr>
      <w:r>
        <w:rPr/>
        <w:t>Sampling and</w:t>
      </w:r>
      <w:r>
        <w:rPr>
          <w:spacing w:val="-1"/>
        </w:rPr>
        <w:t> </w:t>
      </w:r>
      <w:r>
        <w:rPr/>
        <w:t>Analysis.</w:t>
      </w:r>
    </w:p>
    <w:p>
      <w:pPr>
        <w:pStyle w:val="BodyText"/>
        <w:spacing w:before="11"/>
        <w:rPr>
          <w:b/>
          <w:sz w:val="20"/>
        </w:rPr>
      </w:pPr>
    </w:p>
    <w:p>
      <w:pPr>
        <w:pStyle w:val="ListParagraph"/>
        <w:numPr>
          <w:ilvl w:val="3"/>
          <w:numId w:val="20"/>
        </w:numPr>
        <w:tabs>
          <w:tab w:pos="1358" w:val="left" w:leader="none"/>
          <w:tab w:pos="1359" w:val="left" w:leader="none"/>
        </w:tabs>
        <w:spacing w:line="237" w:lineRule="auto" w:before="0" w:after="0"/>
        <w:ind w:left="1360" w:right="1193" w:hanging="1080"/>
        <w:jc w:val="left"/>
        <w:rPr>
          <w:sz w:val="24"/>
        </w:rPr>
      </w:pPr>
      <w:r>
        <w:rPr>
          <w:sz w:val="24"/>
        </w:rPr>
        <w:t>The Discharger shall collect and analyze discharge samples from two (2) Qualifying Storm Events (QSEs)</w:t>
      </w:r>
      <w:r>
        <w:rPr>
          <w:position w:val="8"/>
          <w:sz w:val="16"/>
        </w:rPr>
        <w:t>1 </w:t>
      </w:r>
      <w:r>
        <w:rPr>
          <w:sz w:val="24"/>
        </w:rPr>
        <w:t>within the first half of each reporting period (July 1 to December 31 of the preceding year), and two (2) QSEs within the second half of each reporting period (January 1 to June</w:t>
      </w:r>
      <w:r>
        <w:rPr>
          <w:spacing w:val="-9"/>
          <w:sz w:val="24"/>
        </w:rPr>
        <w:t> </w:t>
      </w:r>
      <w:r>
        <w:rPr>
          <w:sz w:val="24"/>
        </w:rPr>
        <w:t>30).</w:t>
      </w:r>
    </w:p>
    <w:p>
      <w:pPr>
        <w:pStyle w:val="BodyText"/>
        <w:rPr>
          <w:sz w:val="20"/>
        </w:rPr>
      </w:pPr>
    </w:p>
    <w:p>
      <w:pPr>
        <w:pStyle w:val="BodyText"/>
        <w:rPr>
          <w:sz w:val="20"/>
        </w:rPr>
      </w:pPr>
    </w:p>
    <w:p>
      <w:pPr>
        <w:pStyle w:val="BodyText"/>
        <w:rPr>
          <w:sz w:val="20"/>
        </w:rPr>
      </w:pPr>
    </w:p>
    <w:p>
      <w:pPr>
        <w:pStyle w:val="BodyText"/>
        <w:spacing w:before="8"/>
        <w:rPr>
          <w:sz w:val="11"/>
        </w:rPr>
      </w:pPr>
      <w:r>
        <w:rPr/>
        <w:pict>
          <v:shape style="position:absolute;margin-left:72pt;margin-top:9.000845pt;width:144pt;height:.1pt;mso-position-horizontal-relative:page;mso-position-vertical-relative:paragraph;z-index:-251644928;mso-wrap-distance-left:0;mso-wrap-distance-right:0" coordorigin="1440,180" coordsize="2880,0" path="m1440,180l4320,180e" filled="false" stroked="true" strokeweight=".600010pt" strokecolor="#000000">
            <v:path arrowok="t"/>
            <v:stroke dashstyle="solid"/>
            <w10:wrap type="topAndBottom"/>
          </v:shape>
        </w:pict>
      </w:r>
    </w:p>
    <w:p>
      <w:pPr>
        <w:pStyle w:val="BodyText"/>
        <w:rPr>
          <w:sz w:val="20"/>
        </w:rPr>
      </w:pPr>
    </w:p>
    <w:p>
      <w:pPr>
        <w:pStyle w:val="BodyText"/>
        <w:spacing w:before="5"/>
        <w:rPr>
          <w:sz w:val="22"/>
        </w:rPr>
      </w:pPr>
    </w:p>
    <w:p>
      <w:pPr>
        <w:pStyle w:val="BodyText"/>
        <w:spacing w:before="95"/>
        <w:ind w:left="279" w:right="1235"/>
      </w:pPr>
      <w:r>
        <w:rPr>
          <w:position w:val="8"/>
          <w:sz w:val="16"/>
        </w:rPr>
        <w:t>1 </w:t>
      </w:r>
      <w:r>
        <w:rPr/>
        <w:t>A QSE is defined as a precipitation event that produces a discharge for at least one drainage area and is preceded by 48 hours with no discharge from any drainage area.</w:t>
      </w:r>
    </w:p>
    <w:p>
      <w:pPr>
        <w:spacing w:after="0"/>
        <w:sectPr>
          <w:pgSz w:w="12240" w:h="15840"/>
          <w:pgMar w:header="728" w:footer="788" w:top="1540" w:bottom="980" w:left="1160" w:right="420"/>
        </w:sectPr>
      </w:pPr>
    </w:p>
    <w:p>
      <w:pPr>
        <w:pStyle w:val="BodyText"/>
        <w:spacing w:before="11"/>
        <w:rPr>
          <w:sz w:val="15"/>
        </w:rPr>
      </w:pPr>
    </w:p>
    <w:p>
      <w:pPr>
        <w:pStyle w:val="ListParagraph"/>
        <w:numPr>
          <w:ilvl w:val="3"/>
          <w:numId w:val="20"/>
        </w:numPr>
        <w:tabs>
          <w:tab w:pos="1358" w:val="left" w:leader="none"/>
          <w:tab w:pos="1359" w:val="left" w:leader="none"/>
        </w:tabs>
        <w:spacing w:line="240" w:lineRule="auto" w:before="92" w:after="0"/>
        <w:ind w:left="1360" w:right="2096" w:hanging="1080"/>
        <w:jc w:val="left"/>
        <w:rPr>
          <w:sz w:val="24"/>
        </w:rPr>
      </w:pPr>
      <w:r>
        <w:rPr>
          <w:sz w:val="24"/>
        </w:rPr>
        <w:t>Samples shall be collected from each drainage area at all</w:t>
      </w:r>
      <w:r>
        <w:rPr>
          <w:spacing w:val="-39"/>
          <w:sz w:val="24"/>
        </w:rPr>
        <w:t> </w:t>
      </w:r>
      <w:r>
        <w:rPr>
          <w:sz w:val="24"/>
        </w:rPr>
        <w:t>discharge locations. The samples must</w:t>
      </w:r>
      <w:r>
        <w:rPr>
          <w:spacing w:val="-1"/>
          <w:sz w:val="24"/>
        </w:rPr>
        <w:t> </w:t>
      </w:r>
      <w:r>
        <w:rPr>
          <w:sz w:val="24"/>
        </w:rPr>
        <w:t>be:</w:t>
      </w:r>
    </w:p>
    <w:p>
      <w:pPr>
        <w:pStyle w:val="BodyText"/>
        <w:spacing w:before="10"/>
        <w:rPr>
          <w:sz w:val="20"/>
        </w:rPr>
      </w:pPr>
    </w:p>
    <w:p>
      <w:pPr>
        <w:pStyle w:val="ListParagraph"/>
        <w:numPr>
          <w:ilvl w:val="4"/>
          <w:numId w:val="20"/>
        </w:numPr>
        <w:tabs>
          <w:tab w:pos="1574" w:val="left" w:leader="none"/>
          <w:tab w:pos="1575" w:val="left" w:leader="none"/>
        </w:tabs>
        <w:spacing w:line="240" w:lineRule="auto" w:before="0" w:after="0"/>
        <w:ind w:left="1576" w:right="1455" w:hanging="1296"/>
        <w:jc w:val="left"/>
        <w:rPr>
          <w:sz w:val="24"/>
        </w:rPr>
      </w:pPr>
      <w:r>
        <w:rPr>
          <w:sz w:val="24"/>
        </w:rPr>
        <w:t>Representative of stormwater associated with the Discharger’s</w:t>
      </w:r>
      <w:r>
        <w:rPr>
          <w:spacing w:val="-49"/>
          <w:sz w:val="24"/>
        </w:rPr>
        <w:t> </w:t>
      </w:r>
      <w:r>
        <w:rPr>
          <w:sz w:val="24"/>
        </w:rPr>
        <w:t>activities and any commingled authorized NSWDs;</w:t>
      </w:r>
      <w:r>
        <w:rPr>
          <w:spacing w:val="-4"/>
          <w:sz w:val="24"/>
        </w:rPr>
        <w:t> </w:t>
      </w:r>
      <w:r>
        <w:rPr>
          <w:sz w:val="24"/>
        </w:rPr>
        <w:t>or,</w:t>
      </w:r>
    </w:p>
    <w:p>
      <w:pPr>
        <w:pStyle w:val="BodyText"/>
        <w:spacing w:before="10"/>
        <w:rPr>
          <w:sz w:val="20"/>
        </w:rPr>
      </w:pPr>
    </w:p>
    <w:p>
      <w:pPr>
        <w:pStyle w:val="ListParagraph"/>
        <w:numPr>
          <w:ilvl w:val="4"/>
          <w:numId w:val="20"/>
        </w:numPr>
        <w:tabs>
          <w:tab w:pos="1574" w:val="left" w:leader="none"/>
          <w:tab w:pos="1575" w:val="left" w:leader="none"/>
        </w:tabs>
        <w:spacing w:line="240" w:lineRule="auto" w:before="0" w:after="0"/>
        <w:ind w:left="1574" w:right="0" w:hanging="1295"/>
        <w:jc w:val="left"/>
        <w:rPr>
          <w:sz w:val="24"/>
        </w:rPr>
      </w:pPr>
      <w:r>
        <w:rPr>
          <w:sz w:val="24"/>
        </w:rPr>
        <w:t>Associated with the discharge of contained</w:t>
      </w:r>
      <w:r>
        <w:rPr>
          <w:spacing w:val="-3"/>
          <w:sz w:val="24"/>
        </w:rPr>
        <w:t> </w:t>
      </w:r>
      <w:r>
        <w:rPr>
          <w:sz w:val="24"/>
        </w:rPr>
        <w:t>stormwater.</w:t>
      </w:r>
    </w:p>
    <w:p>
      <w:pPr>
        <w:pStyle w:val="BodyText"/>
        <w:spacing w:before="10"/>
        <w:rPr>
          <w:sz w:val="20"/>
        </w:rPr>
      </w:pPr>
    </w:p>
    <w:p>
      <w:pPr>
        <w:pStyle w:val="ListParagraph"/>
        <w:numPr>
          <w:ilvl w:val="4"/>
          <w:numId w:val="20"/>
        </w:numPr>
        <w:tabs>
          <w:tab w:pos="1574" w:val="left" w:leader="none"/>
          <w:tab w:pos="1575" w:val="left" w:leader="none"/>
        </w:tabs>
        <w:spacing w:line="240" w:lineRule="auto" w:before="0" w:after="0"/>
        <w:ind w:left="1575" w:right="1584" w:hanging="1296"/>
        <w:jc w:val="left"/>
        <w:rPr>
          <w:sz w:val="24"/>
        </w:rPr>
      </w:pPr>
      <w:r>
        <w:rPr>
          <w:sz w:val="24"/>
        </w:rPr>
        <w:t>Samples from each discharge location shall be collected within four (4) hours</w:t>
      </w:r>
      <w:r>
        <w:rPr>
          <w:spacing w:val="-1"/>
          <w:sz w:val="24"/>
        </w:rPr>
        <w:t> </w:t>
      </w:r>
      <w:r>
        <w:rPr>
          <w:sz w:val="24"/>
        </w:rPr>
        <w:t>of:</w:t>
      </w:r>
    </w:p>
    <w:p>
      <w:pPr>
        <w:pStyle w:val="BodyText"/>
        <w:spacing w:before="10"/>
        <w:rPr>
          <w:sz w:val="20"/>
        </w:rPr>
      </w:pPr>
    </w:p>
    <w:p>
      <w:pPr>
        <w:pStyle w:val="ListParagraph"/>
        <w:numPr>
          <w:ilvl w:val="5"/>
          <w:numId w:val="20"/>
        </w:numPr>
        <w:tabs>
          <w:tab w:pos="1791" w:val="left" w:leader="none"/>
          <w:tab w:pos="1792" w:val="left" w:leader="none"/>
        </w:tabs>
        <w:spacing w:line="240" w:lineRule="auto" w:before="0" w:after="0"/>
        <w:ind w:left="1791" w:right="0" w:hanging="1513"/>
        <w:jc w:val="left"/>
        <w:rPr>
          <w:sz w:val="24"/>
        </w:rPr>
      </w:pPr>
      <w:r>
        <w:rPr>
          <w:sz w:val="24"/>
        </w:rPr>
        <w:t>The start of the discharge;</w:t>
      </w:r>
      <w:r>
        <w:rPr>
          <w:spacing w:val="-1"/>
          <w:sz w:val="24"/>
        </w:rPr>
        <w:t> </w:t>
      </w:r>
      <w:r>
        <w:rPr>
          <w:sz w:val="24"/>
        </w:rPr>
        <w:t>or</w:t>
      </w:r>
    </w:p>
    <w:p>
      <w:pPr>
        <w:pStyle w:val="BodyText"/>
        <w:spacing w:before="10"/>
        <w:rPr>
          <w:sz w:val="20"/>
        </w:rPr>
      </w:pPr>
    </w:p>
    <w:p>
      <w:pPr>
        <w:pStyle w:val="ListParagraph"/>
        <w:numPr>
          <w:ilvl w:val="5"/>
          <w:numId w:val="20"/>
        </w:numPr>
        <w:tabs>
          <w:tab w:pos="1791" w:val="left" w:leader="none"/>
          <w:tab w:pos="1792" w:val="left" w:leader="none"/>
        </w:tabs>
        <w:spacing w:line="240" w:lineRule="auto" w:before="1" w:after="0"/>
        <w:ind w:left="1791" w:right="1250" w:hanging="1512"/>
        <w:jc w:val="left"/>
        <w:rPr>
          <w:sz w:val="24"/>
        </w:rPr>
      </w:pPr>
      <w:r>
        <w:rPr>
          <w:sz w:val="24"/>
        </w:rPr>
        <w:t>The start of facility operations if the QSE occurs within the previous 12- hour period (e.g., for storms with discharges that begin during the night for facilities with daytime operating hours). Sample collection is required during scheduled facility operating hours and when sampling conditions are safe in accordance with section 2.2.5.1</w:t>
      </w:r>
      <w:r>
        <w:rPr>
          <w:spacing w:val="-7"/>
          <w:sz w:val="24"/>
        </w:rPr>
        <w:t> </w:t>
      </w:r>
      <w:r>
        <w:rPr>
          <w:sz w:val="24"/>
        </w:rPr>
        <w:t>below.</w:t>
      </w:r>
    </w:p>
    <w:p>
      <w:pPr>
        <w:pStyle w:val="BodyText"/>
        <w:spacing w:before="9"/>
        <w:rPr>
          <w:sz w:val="20"/>
        </w:rPr>
      </w:pPr>
    </w:p>
    <w:p>
      <w:pPr>
        <w:pStyle w:val="ListParagraph"/>
        <w:numPr>
          <w:ilvl w:val="4"/>
          <w:numId w:val="20"/>
        </w:numPr>
        <w:tabs>
          <w:tab w:pos="1574" w:val="left" w:leader="none"/>
          <w:tab w:pos="1575" w:val="left" w:leader="none"/>
        </w:tabs>
        <w:spacing w:line="240" w:lineRule="auto" w:before="1" w:after="0"/>
        <w:ind w:left="1575" w:right="1119" w:hanging="1296"/>
        <w:jc w:val="left"/>
        <w:rPr>
          <w:sz w:val="24"/>
        </w:rPr>
      </w:pPr>
      <w:r>
        <w:rPr>
          <w:sz w:val="24"/>
        </w:rPr>
        <w:t>The Discharger shall analyze all collected samples for each parameter with an effluent limitation in section 7 of this Order with a compliance deadline that has</w:t>
      </w:r>
      <w:r>
        <w:rPr>
          <w:spacing w:val="-1"/>
          <w:sz w:val="24"/>
        </w:rPr>
        <w:t> </w:t>
      </w:r>
      <w:r>
        <w:rPr>
          <w:sz w:val="24"/>
        </w:rPr>
        <w:t>passed.</w:t>
      </w:r>
    </w:p>
    <w:p>
      <w:pPr>
        <w:pStyle w:val="BodyText"/>
        <w:spacing w:before="10"/>
        <w:rPr>
          <w:sz w:val="20"/>
        </w:rPr>
      </w:pPr>
    </w:p>
    <w:p>
      <w:pPr>
        <w:pStyle w:val="ListParagraph"/>
        <w:numPr>
          <w:ilvl w:val="4"/>
          <w:numId w:val="20"/>
        </w:numPr>
        <w:tabs>
          <w:tab w:pos="1574" w:val="left" w:leader="none"/>
          <w:tab w:pos="1575" w:val="left" w:leader="none"/>
        </w:tabs>
        <w:spacing w:line="240" w:lineRule="auto" w:before="0" w:after="0"/>
        <w:ind w:left="1575" w:right="1025" w:hanging="1296"/>
        <w:jc w:val="left"/>
        <w:rPr>
          <w:sz w:val="24"/>
        </w:rPr>
      </w:pPr>
      <w:r>
        <w:rPr>
          <w:sz w:val="24"/>
        </w:rPr>
        <w:t>The Discharger shall select corresponding analytical test methods and reporting units from 40 CFR Part 136. SMARTS will be updated over time to add additional acceptable analytical test methods. Dischargers may propose an analytical test method for any parameter or pollutant that does not have an analytical test method specified in 40 CFR Part 136 or in SMARTS. Dischargers may also propose analytical test methods with substantially similar or more stringent method detection limits (MDLs) than existing approved analytical test methods. Upon approval, the analytical test method will be added to</w:t>
      </w:r>
      <w:r>
        <w:rPr>
          <w:spacing w:val="-3"/>
          <w:sz w:val="24"/>
        </w:rPr>
        <w:t> </w:t>
      </w:r>
      <w:r>
        <w:rPr>
          <w:sz w:val="24"/>
        </w:rPr>
        <w:t>SMARTS.</w:t>
      </w:r>
    </w:p>
    <w:p>
      <w:pPr>
        <w:pStyle w:val="BodyText"/>
        <w:spacing w:before="9"/>
        <w:rPr>
          <w:sz w:val="20"/>
        </w:rPr>
      </w:pPr>
    </w:p>
    <w:p>
      <w:pPr>
        <w:pStyle w:val="ListParagraph"/>
        <w:numPr>
          <w:ilvl w:val="4"/>
          <w:numId w:val="20"/>
        </w:numPr>
        <w:tabs>
          <w:tab w:pos="1574" w:val="left" w:leader="none"/>
          <w:tab w:pos="1575" w:val="left" w:leader="none"/>
        </w:tabs>
        <w:spacing w:line="240" w:lineRule="auto" w:before="0" w:after="0"/>
        <w:ind w:left="1575" w:right="1160" w:hanging="1296"/>
        <w:jc w:val="left"/>
        <w:rPr>
          <w:sz w:val="24"/>
        </w:rPr>
      </w:pPr>
      <w:r>
        <w:rPr>
          <w:sz w:val="24"/>
        </w:rPr>
        <w:t>Where the analysis of stormborne suspended sediments in stormwater samples is required to determine compliance with the established effluent limitations in section 7 of this Order and collection of suspended sediment from stormwater samples with sufficient yields to perform analysis required is not feasible, the following may be submitted for compliance determination:</w:t>
      </w:r>
    </w:p>
    <w:p>
      <w:pPr>
        <w:pStyle w:val="BodyText"/>
      </w:pPr>
    </w:p>
    <w:p>
      <w:pPr>
        <w:pStyle w:val="BodyText"/>
        <w:ind w:left="1575" w:right="1380"/>
      </w:pPr>
      <w:r>
        <w:rPr/>
        <w:t>For each parameter, a measured concentration in the total (CT) and dissolved (CD) fractions of the stormwater sample. Methods used to measure the total and dissolved fractions shall be analytical method promulgated in 40 CFR 136 or as otherwise directed by the State Board. Concentration of the constituents in the suspended sediment will be determined based on the difference between the concentrations of the</w:t>
      </w:r>
    </w:p>
    <w:p>
      <w:pPr>
        <w:spacing w:after="0"/>
        <w:sectPr>
          <w:pgSz w:w="12240" w:h="15840"/>
          <w:pgMar w:header="728" w:footer="788" w:top="1540" w:bottom="980" w:left="1160" w:right="420"/>
        </w:sectPr>
      </w:pPr>
    </w:p>
    <w:p>
      <w:pPr>
        <w:pStyle w:val="BodyText"/>
        <w:spacing w:before="11"/>
        <w:rPr>
          <w:sz w:val="15"/>
        </w:rPr>
      </w:pPr>
    </w:p>
    <w:p>
      <w:pPr>
        <w:pStyle w:val="BodyText"/>
        <w:spacing w:before="92"/>
        <w:ind w:left="1576" w:right="1579"/>
      </w:pPr>
      <w:r>
        <w:rPr/>
        <w:t>constituent measured in the total fraction and the concentrations of the constituent measured in the dissolved fraction.</w:t>
      </w:r>
    </w:p>
    <w:p>
      <w:pPr>
        <w:pStyle w:val="BodyText"/>
      </w:pPr>
    </w:p>
    <w:p>
      <w:pPr>
        <w:spacing w:before="0"/>
        <w:ind w:left="1420" w:right="879" w:firstLine="0"/>
        <w:jc w:val="center"/>
        <w:rPr>
          <w:rFonts w:ascii="Cambria" w:eastAsia="Cambria"/>
          <w:i/>
          <w:sz w:val="24"/>
        </w:rPr>
      </w:pPr>
      <w:r>
        <w:rPr>
          <w:rFonts w:ascii="Cambria" w:eastAsia="Cambria"/>
          <w:i/>
          <w:spacing w:val="-14"/>
          <w:w w:val="105"/>
          <w:sz w:val="24"/>
        </w:rPr>
        <w:t>𝐶</w:t>
      </w:r>
      <w:r>
        <w:rPr>
          <w:rFonts w:ascii="Cambria" w:eastAsia="Cambria"/>
          <w:i/>
          <w:spacing w:val="-14"/>
          <w:w w:val="105"/>
          <w:sz w:val="24"/>
          <w:vertAlign w:val="subscript"/>
        </w:rPr>
        <w:t>A</w:t>
      </w:r>
      <w:r>
        <w:rPr>
          <w:rFonts w:ascii="Cambria" w:eastAsia="Cambria"/>
          <w:i/>
          <w:spacing w:val="-14"/>
          <w:w w:val="105"/>
          <w:sz w:val="24"/>
          <w:vertAlign w:val="baseline"/>
        </w:rPr>
        <w:t>  </w:t>
      </w:r>
      <w:r>
        <w:rPr>
          <w:rFonts w:ascii="Cambria" w:eastAsia="Cambria"/>
          <w:i/>
          <w:w w:val="130"/>
          <w:sz w:val="24"/>
          <w:vertAlign w:val="baseline"/>
        </w:rPr>
        <w:t>= </w:t>
      </w:r>
      <w:r>
        <w:rPr>
          <w:rFonts w:ascii="Cambria" w:eastAsia="Cambria"/>
          <w:i/>
          <w:spacing w:val="-4"/>
          <w:w w:val="105"/>
          <w:sz w:val="24"/>
          <w:vertAlign w:val="baseline"/>
        </w:rPr>
        <w:t>𝐶</w:t>
      </w:r>
      <w:r>
        <w:rPr>
          <w:rFonts w:ascii="Cambria" w:eastAsia="Cambria"/>
          <w:i/>
          <w:spacing w:val="-4"/>
          <w:w w:val="105"/>
          <w:sz w:val="24"/>
          <w:vertAlign w:val="subscript"/>
        </w:rPr>
        <w:t>T</w:t>
      </w:r>
      <w:r>
        <w:rPr>
          <w:rFonts w:ascii="Cambria" w:eastAsia="Cambria"/>
          <w:i/>
          <w:spacing w:val="-4"/>
          <w:w w:val="105"/>
          <w:sz w:val="24"/>
          <w:vertAlign w:val="baseline"/>
        </w:rPr>
        <w:t> </w:t>
      </w:r>
      <w:r>
        <w:rPr>
          <w:rFonts w:ascii="Cambria" w:eastAsia="Cambria"/>
          <w:i/>
          <w:w w:val="215"/>
          <w:sz w:val="24"/>
          <w:vertAlign w:val="baseline"/>
        </w:rPr>
        <w:t>-</w:t>
      </w:r>
      <w:r>
        <w:rPr>
          <w:rFonts w:ascii="Cambria" w:eastAsia="Cambria"/>
          <w:i/>
          <w:spacing w:val="-54"/>
          <w:w w:val="215"/>
          <w:sz w:val="24"/>
          <w:vertAlign w:val="baseline"/>
        </w:rPr>
        <w:t> </w:t>
      </w:r>
      <w:r>
        <w:rPr>
          <w:rFonts w:ascii="Cambria" w:eastAsia="Cambria"/>
          <w:i/>
          <w:spacing w:val="-8"/>
          <w:w w:val="105"/>
          <w:sz w:val="24"/>
          <w:vertAlign w:val="baseline"/>
        </w:rPr>
        <w:t>𝐶</w:t>
      </w:r>
      <w:r>
        <w:rPr>
          <w:rFonts w:ascii="Cambria" w:eastAsia="Cambria"/>
          <w:i/>
          <w:spacing w:val="-8"/>
          <w:w w:val="105"/>
          <w:sz w:val="24"/>
          <w:vertAlign w:val="subscript"/>
        </w:rPr>
        <w:t>D</w:t>
      </w:r>
    </w:p>
    <w:p>
      <w:pPr>
        <w:pStyle w:val="BodyText"/>
        <w:spacing w:before="276"/>
        <w:ind w:left="1576"/>
      </w:pPr>
      <w:r>
        <w:rPr/>
        <w:t>CT = Concentration of analyte in total fraction, µg/L</w:t>
      </w:r>
    </w:p>
    <w:p>
      <w:pPr>
        <w:pStyle w:val="BodyText"/>
        <w:ind w:left="1576"/>
      </w:pPr>
      <w:r>
        <w:rPr/>
        <w:t>CD = Concentration of analyte in dissolved fraction, µg/L</w:t>
      </w:r>
    </w:p>
    <w:p>
      <w:pPr>
        <w:pStyle w:val="BodyText"/>
        <w:ind w:left="1576"/>
      </w:pPr>
      <w:r>
        <w:rPr/>
        <w:t>CA = Concentration of analyte in suspended sediment fraction, µg/L</w:t>
      </w:r>
    </w:p>
    <w:p>
      <w:pPr>
        <w:pStyle w:val="BodyText"/>
      </w:pPr>
    </w:p>
    <w:p>
      <w:pPr>
        <w:pStyle w:val="BodyText"/>
        <w:ind w:left="1576" w:right="1299"/>
      </w:pPr>
      <w:r>
        <w:rPr/>
        <w:t>A separate analysis of suspended sediment concentration (SSC) using ASTM D3977-97 (19) Test Method B-Filtration) shall be performed to determine the net weight of sediment and net sample volume parameters necessary for unit conversion.</w:t>
      </w:r>
    </w:p>
    <w:p>
      <w:pPr>
        <w:pStyle w:val="BodyText"/>
      </w:pPr>
    </w:p>
    <w:p>
      <w:pPr>
        <w:pStyle w:val="BodyText"/>
        <w:ind w:left="1576"/>
      </w:pPr>
      <w:r>
        <w:rPr/>
        <w:t>The following equation should be used to convert CA, µg/L to CS, mg/kg:</w:t>
      </w:r>
    </w:p>
    <w:p>
      <w:pPr>
        <w:pStyle w:val="BodyText"/>
        <w:spacing w:before="7"/>
        <w:rPr>
          <w:sz w:val="12"/>
        </w:rPr>
      </w:pPr>
    </w:p>
    <w:p>
      <w:pPr>
        <w:spacing w:after="0"/>
        <w:rPr>
          <w:sz w:val="12"/>
        </w:rPr>
        <w:sectPr>
          <w:pgSz w:w="12240" w:h="15840"/>
          <w:pgMar w:header="728" w:footer="788" w:top="1540" w:bottom="980" w:left="1160" w:right="420"/>
        </w:sectPr>
      </w:pPr>
    </w:p>
    <w:p>
      <w:pPr>
        <w:spacing w:before="282"/>
        <w:ind w:left="0" w:right="0" w:firstLine="0"/>
        <w:jc w:val="right"/>
        <w:rPr>
          <w:rFonts w:ascii="Cambria" w:eastAsia="Cambria"/>
          <w:i/>
          <w:sz w:val="24"/>
        </w:rPr>
      </w:pPr>
      <w:r>
        <w:rPr>
          <w:rFonts w:ascii="Cambria" w:eastAsia="Cambria"/>
          <w:i/>
          <w:w w:val="95"/>
          <w:sz w:val="24"/>
        </w:rPr>
        <w:t>𝐶</w:t>
      </w:r>
      <w:r>
        <w:rPr>
          <w:rFonts w:ascii="Cambria" w:eastAsia="Cambria"/>
          <w:i/>
          <w:w w:val="95"/>
          <w:sz w:val="24"/>
          <w:vertAlign w:val="subscript"/>
        </w:rPr>
        <w:t>S</w:t>
      </w:r>
    </w:p>
    <w:p>
      <w:pPr>
        <w:spacing w:line="177" w:lineRule="auto" w:before="113"/>
        <w:ind w:left="93" w:right="0" w:firstLine="0"/>
        <w:jc w:val="left"/>
        <w:rPr>
          <w:rFonts w:ascii="Cambria" w:eastAsia="Cambria"/>
          <w:i/>
          <w:sz w:val="24"/>
        </w:rPr>
      </w:pPr>
      <w:r>
        <w:rPr/>
        <w:br w:type="column"/>
      </w:r>
      <w:r>
        <w:rPr>
          <w:rFonts w:ascii="Cambria" w:eastAsia="Cambria"/>
          <w:i/>
          <w:w w:val="120"/>
          <w:position w:val="-17"/>
          <w:sz w:val="24"/>
        </w:rPr>
        <w:t>= </w:t>
      </w:r>
      <w:r>
        <w:rPr>
          <w:rFonts w:ascii="Cambria" w:eastAsia="Cambria"/>
          <w:i/>
          <w:w w:val="115"/>
          <w:sz w:val="24"/>
        </w:rPr>
        <w:t>𝐶</w:t>
      </w:r>
      <w:r>
        <w:rPr>
          <w:rFonts w:ascii="Cambria" w:eastAsia="Cambria"/>
          <w:i/>
          <w:w w:val="115"/>
          <w:sz w:val="24"/>
          <w:vertAlign w:val="subscript"/>
        </w:rPr>
        <w:t>A</w:t>
      </w:r>
    </w:p>
    <w:p>
      <w:pPr>
        <w:spacing w:line="223" w:lineRule="exact" w:before="0"/>
        <w:ind w:left="339" w:right="0" w:firstLine="0"/>
        <w:jc w:val="left"/>
        <w:rPr>
          <w:rFonts w:ascii="Cambria" w:eastAsia="Cambria"/>
          <w:i/>
          <w:sz w:val="24"/>
        </w:rPr>
      </w:pPr>
      <w:r>
        <w:rPr/>
        <w:pict>
          <v:line style="position:absolute;mso-position-horizontal-relative:page;mso-position-vertical-relative:paragraph;z-index:-258611200" from="320.279999pt,-2.962881pt" to="340.679999pt,-2.962881pt" stroked="true" strokeweight=".78003pt" strokecolor="#000000">
            <v:stroke dashstyle="solid"/>
            <w10:wrap type="none"/>
          </v:line>
        </w:pict>
      </w:r>
      <w:r>
        <w:rPr>
          <w:rFonts w:ascii="Cambria" w:eastAsia="Cambria"/>
          <w:i/>
          <w:w w:val="80"/>
          <w:sz w:val="24"/>
        </w:rPr>
        <w:t>𝑆𝑆𝐶</w:t>
      </w:r>
    </w:p>
    <w:p>
      <w:pPr>
        <w:pStyle w:val="BodyText"/>
        <w:rPr>
          <w:rFonts w:ascii="Cambria"/>
          <w:i/>
        </w:rPr>
      </w:pPr>
      <w:r>
        <w:rPr/>
        <w:br w:type="column"/>
      </w:r>
      <w:r>
        <w:rPr>
          <w:rFonts w:ascii="Cambria"/>
          <w:i/>
        </w:rPr>
      </w:r>
    </w:p>
    <w:p>
      <w:pPr>
        <w:spacing w:before="0"/>
        <w:ind w:left="77" w:right="0" w:firstLine="0"/>
        <w:jc w:val="left"/>
        <w:rPr>
          <w:rFonts w:ascii="Cambria"/>
          <w:sz w:val="24"/>
        </w:rPr>
      </w:pPr>
      <w:r>
        <w:rPr>
          <w:rFonts w:ascii="Cambria"/>
          <w:i/>
          <w:w w:val="130"/>
          <w:sz w:val="24"/>
        </w:rPr>
        <w:t>x </w:t>
      </w:r>
      <w:r>
        <w:rPr>
          <w:rFonts w:ascii="Cambria"/>
          <w:w w:val="120"/>
          <w:sz w:val="24"/>
        </w:rPr>
        <w:t>1,000</w:t>
      </w:r>
    </w:p>
    <w:p>
      <w:pPr>
        <w:spacing w:after="0"/>
        <w:jc w:val="left"/>
        <w:rPr>
          <w:rFonts w:ascii="Cambria"/>
          <w:sz w:val="24"/>
        </w:rPr>
        <w:sectPr>
          <w:type w:val="continuous"/>
          <w:pgSz w:w="12240" w:h="15840"/>
          <w:pgMar w:top="1200" w:bottom="980" w:left="1160" w:right="420"/>
          <w:cols w:num="3" w:equalWidth="0">
            <w:col w:w="4866" w:space="40"/>
            <w:col w:w="738" w:space="39"/>
            <w:col w:w="4977"/>
          </w:cols>
        </w:sectPr>
      </w:pPr>
    </w:p>
    <w:p>
      <w:pPr>
        <w:pStyle w:val="BodyText"/>
        <w:spacing w:before="3"/>
        <w:rPr>
          <w:rFonts w:ascii="Cambria"/>
          <w:sz w:val="11"/>
        </w:rPr>
      </w:pPr>
    </w:p>
    <w:p>
      <w:pPr>
        <w:pStyle w:val="BodyText"/>
        <w:spacing w:before="92"/>
        <w:ind w:left="1576" w:right="1679"/>
      </w:pPr>
      <w:r>
        <w:rPr/>
        <w:t>CA = Concentration of analyte in suspended sediment fraction, µg/L CS = Concentration of analyte in suspended sediment fraction, mg/kg</w:t>
      </w:r>
    </w:p>
    <w:p>
      <w:pPr>
        <w:pStyle w:val="BodyText"/>
        <w:ind w:left="1576" w:right="1035"/>
      </w:pPr>
      <w:r>
        <w:rPr/>
        <w:t>SSC = Suspended sediment concentration, measured by ASTM D3977-97 (19), mg/L</w:t>
      </w:r>
    </w:p>
    <w:p>
      <w:pPr>
        <w:pStyle w:val="BodyText"/>
      </w:pPr>
    </w:p>
    <w:p>
      <w:pPr>
        <w:pStyle w:val="BodyText"/>
        <w:ind w:left="1576" w:right="1035"/>
      </w:pPr>
      <w:r>
        <w:rPr/>
        <w:t>When using the above formulas, the following values shall be included with the report: Cs, Ct, Cd and SSC.</w:t>
      </w:r>
    </w:p>
    <w:p>
      <w:pPr>
        <w:pStyle w:val="BodyText"/>
        <w:spacing w:before="10"/>
        <w:rPr>
          <w:sz w:val="20"/>
        </w:rPr>
      </w:pPr>
    </w:p>
    <w:p>
      <w:pPr>
        <w:pStyle w:val="ListParagraph"/>
        <w:numPr>
          <w:ilvl w:val="4"/>
          <w:numId w:val="20"/>
        </w:numPr>
        <w:tabs>
          <w:tab w:pos="1574" w:val="left" w:leader="none"/>
          <w:tab w:pos="1576" w:val="left" w:leader="none"/>
        </w:tabs>
        <w:spacing w:line="240" w:lineRule="auto" w:before="1" w:after="0"/>
        <w:ind w:left="1576" w:right="1867" w:hanging="1296"/>
        <w:jc w:val="left"/>
        <w:rPr>
          <w:sz w:val="24"/>
        </w:rPr>
      </w:pPr>
      <w:r>
        <w:rPr>
          <w:sz w:val="24"/>
        </w:rPr>
        <w:t>Samples from different discharge locations shall not be combined</w:t>
      </w:r>
      <w:r>
        <w:rPr>
          <w:spacing w:val="-42"/>
          <w:sz w:val="24"/>
        </w:rPr>
        <w:t> </w:t>
      </w:r>
      <w:r>
        <w:rPr>
          <w:sz w:val="24"/>
        </w:rPr>
        <w:t>or composited.</w:t>
      </w:r>
    </w:p>
    <w:p>
      <w:pPr>
        <w:pStyle w:val="BodyText"/>
        <w:spacing w:before="9"/>
        <w:rPr>
          <w:sz w:val="20"/>
        </w:rPr>
      </w:pPr>
    </w:p>
    <w:p>
      <w:pPr>
        <w:pStyle w:val="ListParagraph"/>
        <w:numPr>
          <w:ilvl w:val="4"/>
          <w:numId w:val="20"/>
        </w:numPr>
        <w:tabs>
          <w:tab w:pos="1574" w:val="left" w:leader="none"/>
          <w:tab w:pos="1575" w:val="left" w:leader="none"/>
        </w:tabs>
        <w:spacing w:line="240" w:lineRule="auto" w:before="1" w:after="0"/>
        <w:ind w:left="1576" w:right="1121" w:hanging="1296"/>
        <w:jc w:val="left"/>
        <w:rPr>
          <w:sz w:val="24"/>
        </w:rPr>
      </w:pPr>
      <w:r>
        <w:rPr>
          <w:sz w:val="24"/>
        </w:rPr>
        <w:t>The Discharger shall ensure that all laboratory analyses are performed according</w:t>
      </w:r>
      <w:r>
        <w:rPr>
          <w:spacing w:val="-7"/>
          <w:sz w:val="24"/>
        </w:rPr>
        <w:t> </w:t>
      </w:r>
      <w:r>
        <w:rPr>
          <w:sz w:val="24"/>
        </w:rPr>
        <w:t>to</w:t>
      </w:r>
      <w:r>
        <w:rPr>
          <w:spacing w:val="-7"/>
          <w:sz w:val="24"/>
        </w:rPr>
        <w:t> </w:t>
      </w:r>
      <w:r>
        <w:rPr>
          <w:sz w:val="24"/>
        </w:rPr>
        <w:t>sufficiently</w:t>
      </w:r>
      <w:r>
        <w:rPr>
          <w:spacing w:val="-6"/>
          <w:sz w:val="24"/>
        </w:rPr>
        <w:t> </w:t>
      </w:r>
      <w:r>
        <w:rPr>
          <w:sz w:val="24"/>
        </w:rPr>
        <w:t>sensitive</w:t>
      </w:r>
      <w:r>
        <w:rPr>
          <w:spacing w:val="-7"/>
          <w:sz w:val="24"/>
        </w:rPr>
        <w:t> </w:t>
      </w:r>
      <w:r>
        <w:rPr>
          <w:sz w:val="24"/>
        </w:rPr>
        <w:t>test</w:t>
      </w:r>
      <w:r>
        <w:rPr>
          <w:spacing w:val="-6"/>
          <w:sz w:val="24"/>
        </w:rPr>
        <w:t> </w:t>
      </w:r>
      <w:r>
        <w:rPr>
          <w:sz w:val="24"/>
        </w:rPr>
        <w:t>procedures</w:t>
      </w:r>
      <w:r>
        <w:rPr>
          <w:spacing w:val="-7"/>
          <w:sz w:val="24"/>
        </w:rPr>
        <w:t> </w:t>
      </w:r>
      <w:r>
        <w:rPr>
          <w:sz w:val="24"/>
        </w:rPr>
        <w:t>and</w:t>
      </w:r>
      <w:r>
        <w:rPr>
          <w:spacing w:val="-6"/>
          <w:sz w:val="24"/>
        </w:rPr>
        <w:t> </w:t>
      </w:r>
      <w:r>
        <w:rPr>
          <w:sz w:val="24"/>
        </w:rPr>
        <w:t>conducted</w:t>
      </w:r>
      <w:r>
        <w:rPr>
          <w:spacing w:val="-7"/>
          <w:sz w:val="24"/>
        </w:rPr>
        <w:t> </w:t>
      </w:r>
      <w:r>
        <w:rPr>
          <w:sz w:val="24"/>
        </w:rPr>
        <w:t>according to test procedures under 40 CFR Part 136, including the observation of holding times, unless other test procedures have been specified in this General Permit, by the Los Angeles Water Board, or are required under 40 CFR Chapter I Subchapter</w:t>
      </w:r>
      <w:r>
        <w:rPr>
          <w:spacing w:val="-1"/>
          <w:sz w:val="24"/>
        </w:rPr>
        <w:t> </w:t>
      </w:r>
      <w:r>
        <w:rPr>
          <w:sz w:val="24"/>
        </w:rPr>
        <w:t>N.</w:t>
      </w:r>
    </w:p>
    <w:p>
      <w:pPr>
        <w:pStyle w:val="BodyText"/>
        <w:spacing w:before="10"/>
        <w:rPr>
          <w:sz w:val="20"/>
        </w:rPr>
      </w:pPr>
    </w:p>
    <w:p>
      <w:pPr>
        <w:pStyle w:val="Heading1"/>
        <w:numPr>
          <w:ilvl w:val="2"/>
          <w:numId w:val="22"/>
        </w:numPr>
        <w:tabs>
          <w:tab w:pos="1100" w:val="left" w:leader="none"/>
          <w:tab w:pos="1101" w:val="left" w:leader="none"/>
        </w:tabs>
        <w:spacing w:line="240" w:lineRule="auto" w:before="0" w:after="0"/>
        <w:ind w:left="1100" w:right="0" w:hanging="821"/>
        <w:jc w:val="left"/>
      </w:pPr>
      <w:r>
        <w:rPr/>
        <w:t>Sample Collection and</w:t>
      </w:r>
      <w:r>
        <w:rPr>
          <w:spacing w:val="-25"/>
        </w:rPr>
        <w:t> </w:t>
      </w:r>
      <w:r>
        <w:rPr/>
        <w:t>Handling.</w:t>
      </w:r>
    </w:p>
    <w:p>
      <w:pPr>
        <w:pStyle w:val="BodyText"/>
        <w:rPr>
          <w:b/>
        </w:rPr>
      </w:pPr>
    </w:p>
    <w:p>
      <w:pPr>
        <w:pStyle w:val="BodyText"/>
        <w:ind w:left="1100" w:right="1035"/>
      </w:pPr>
      <w:r>
        <w:rPr/>
        <w:t>The</w:t>
      </w:r>
      <w:r>
        <w:rPr>
          <w:spacing w:val="-5"/>
        </w:rPr>
        <w:t> </w:t>
      </w:r>
      <w:r>
        <w:rPr/>
        <w:t>Discharger</w:t>
      </w:r>
      <w:r>
        <w:rPr>
          <w:spacing w:val="-5"/>
        </w:rPr>
        <w:t> </w:t>
      </w:r>
      <w:r>
        <w:rPr/>
        <w:t>shall</w:t>
      </w:r>
      <w:r>
        <w:rPr>
          <w:spacing w:val="-5"/>
        </w:rPr>
        <w:t> </w:t>
      </w:r>
      <w:r>
        <w:rPr/>
        <w:t>ensure</w:t>
      </w:r>
      <w:r>
        <w:rPr>
          <w:spacing w:val="-5"/>
        </w:rPr>
        <w:t> </w:t>
      </w:r>
      <w:r>
        <w:rPr/>
        <w:t>that</w:t>
      </w:r>
      <w:r>
        <w:rPr>
          <w:spacing w:val="-5"/>
        </w:rPr>
        <w:t> </w:t>
      </w:r>
      <w:r>
        <w:rPr/>
        <w:t>the</w:t>
      </w:r>
      <w:r>
        <w:rPr>
          <w:spacing w:val="-5"/>
        </w:rPr>
        <w:t> </w:t>
      </w:r>
      <w:r>
        <w:rPr/>
        <w:t>collection,</w:t>
      </w:r>
      <w:r>
        <w:rPr>
          <w:spacing w:val="-5"/>
        </w:rPr>
        <w:t> </w:t>
      </w:r>
      <w:r>
        <w:rPr/>
        <w:t>preservation,</w:t>
      </w:r>
      <w:r>
        <w:rPr>
          <w:spacing w:val="-5"/>
        </w:rPr>
        <w:t> </w:t>
      </w:r>
      <w:r>
        <w:rPr/>
        <w:t>and</w:t>
      </w:r>
      <w:r>
        <w:rPr>
          <w:spacing w:val="-5"/>
        </w:rPr>
        <w:t> </w:t>
      </w:r>
      <w:r>
        <w:rPr/>
        <w:t>handling</w:t>
      </w:r>
      <w:r>
        <w:rPr>
          <w:spacing w:val="-5"/>
        </w:rPr>
        <w:t> </w:t>
      </w:r>
      <w:r>
        <w:rPr/>
        <w:t>of</w:t>
      </w:r>
      <w:r>
        <w:rPr>
          <w:spacing w:val="-5"/>
        </w:rPr>
        <w:t> </w:t>
      </w:r>
      <w:r>
        <w:rPr/>
        <w:t>all samples are in accordance with the</w:t>
      </w:r>
      <w:r>
        <w:rPr>
          <w:spacing w:val="-3"/>
        </w:rPr>
        <w:t> </w:t>
      </w:r>
      <w:r>
        <w:rPr/>
        <w:t>following:</w:t>
      </w:r>
    </w:p>
    <w:p>
      <w:pPr>
        <w:pStyle w:val="BodyText"/>
        <w:spacing w:before="10"/>
        <w:rPr>
          <w:sz w:val="20"/>
        </w:rPr>
      </w:pPr>
    </w:p>
    <w:p>
      <w:pPr>
        <w:pStyle w:val="ListParagraph"/>
        <w:numPr>
          <w:ilvl w:val="3"/>
          <w:numId w:val="22"/>
        </w:numPr>
        <w:tabs>
          <w:tab w:pos="1359" w:val="left" w:leader="none"/>
          <w:tab w:pos="1360" w:val="left" w:leader="none"/>
        </w:tabs>
        <w:spacing w:line="240" w:lineRule="auto" w:before="0" w:after="0"/>
        <w:ind w:left="1360" w:right="1531" w:hanging="1080"/>
        <w:jc w:val="left"/>
        <w:rPr>
          <w:sz w:val="24"/>
        </w:rPr>
      </w:pPr>
      <w:r>
        <w:rPr>
          <w:sz w:val="24"/>
        </w:rPr>
        <w:t>Identify the sampling parameters required to be tested and the number of stormwater discharge points that will be sampled. Request the analytical testing laboratory to provide the appropriate number and type of</w:t>
      </w:r>
      <w:r>
        <w:rPr>
          <w:spacing w:val="-37"/>
          <w:sz w:val="24"/>
        </w:rPr>
        <w:t> </w:t>
      </w:r>
      <w:r>
        <w:rPr>
          <w:sz w:val="24"/>
        </w:rPr>
        <w:t>sample</w:t>
      </w:r>
    </w:p>
    <w:p>
      <w:pPr>
        <w:spacing w:after="0" w:line="240" w:lineRule="auto"/>
        <w:jc w:val="left"/>
        <w:rPr>
          <w:sz w:val="24"/>
        </w:rPr>
        <w:sectPr>
          <w:type w:val="continuous"/>
          <w:pgSz w:w="12240" w:h="15840"/>
          <w:pgMar w:top="1200" w:bottom="980" w:left="1160" w:right="420"/>
        </w:sectPr>
      </w:pPr>
    </w:p>
    <w:p>
      <w:pPr>
        <w:pStyle w:val="BodyText"/>
        <w:spacing w:before="11"/>
        <w:rPr>
          <w:sz w:val="15"/>
        </w:rPr>
      </w:pPr>
    </w:p>
    <w:p>
      <w:pPr>
        <w:pStyle w:val="BodyText"/>
        <w:spacing w:before="92"/>
        <w:ind w:left="1360" w:right="1809"/>
      </w:pPr>
      <w:r>
        <w:rPr/>
        <w:t>containers, sample container labels, blank chain of custody forms, and sample preservation instructions.</w:t>
      </w:r>
    </w:p>
    <w:p>
      <w:pPr>
        <w:pStyle w:val="BodyText"/>
        <w:spacing w:before="10"/>
        <w:rPr>
          <w:sz w:val="20"/>
        </w:rPr>
      </w:pPr>
    </w:p>
    <w:p>
      <w:pPr>
        <w:pStyle w:val="ListParagraph"/>
        <w:numPr>
          <w:ilvl w:val="4"/>
          <w:numId w:val="22"/>
        </w:numPr>
        <w:tabs>
          <w:tab w:pos="1574" w:val="left" w:leader="none"/>
          <w:tab w:pos="1575" w:val="left" w:leader="none"/>
        </w:tabs>
        <w:spacing w:line="240" w:lineRule="auto" w:before="0" w:after="0"/>
        <w:ind w:left="1576" w:right="1025" w:hanging="1296"/>
        <w:jc w:val="left"/>
        <w:rPr>
          <w:sz w:val="24"/>
        </w:rPr>
      </w:pPr>
      <w:r>
        <w:rPr>
          <w:sz w:val="24"/>
        </w:rPr>
        <w:t>Laboratories analyzing monitoring samples shall be certified by the State Water Resources Control Board (State Water Board) in accordance with</w:t>
      </w:r>
      <w:r>
        <w:rPr>
          <w:spacing w:val="-42"/>
          <w:sz w:val="24"/>
        </w:rPr>
        <w:t> </w:t>
      </w:r>
      <w:r>
        <w:rPr>
          <w:sz w:val="24"/>
        </w:rPr>
        <w:t>the provisions of CWC section 13176 and must include quality assurance / quality control data with their analytical</w:t>
      </w:r>
      <w:r>
        <w:rPr>
          <w:spacing w:val="-5"/>
          <w:sz w:val="24"/>
        </w:rPr>
        <w:t> </w:t>
      </w:r>
      <w:r>
        <w:rPr>
          <w:sz w:val="24"/>
        </w:rPr>
        <w:t>reports.</w:t>
      </w:r>
    </w:p>
    <w:p>
      <w:pPr>
        <w:pStyle w:val="BodyText"/>
        <w:spacing w:before="10"/>
        <w:rPr>
          <w:sz w:val="20"/>
        </w:rPr>
      </w:pPr>
    </w:p>
    <w:p>
      <w:pPr>
        <w:pStyle w:val="ListParagraph"/>
        <w:numPr>
          <w:ilvl w:val="3"/>
          <w:numId w:val="22"/>
        </w:numPr>
        <w:tabs>
          <w:tab w:pos="1358" w:val="left" w:leader="none"/>
          <w:tab w:pos="1359" w:val="left" w:leader="none"/>
        </w:tabs>
        <w:spacing w:line="240" w:lineRule="auto" w:before="0" w:after="0"/>
        <w:ind w:left="1360" w:right="1094" w:hanging="1080"/>
        <w:jc w:val="left"/>
        <w:rPr>
          <w:sz w:val="16"/>
        </w:rPr>
      </w:pPr>
      <w:r>
        <w:rPr>
          <w:sz w:val="24"/>
        </w:rPr>
        <w:t>Determine how samples will be transported to the laboratory. The testing laboratory should receive samples within 48 hours of the physical sampling (unless otherwise required by the laboratory). The Discharger may either deliver the samples to the laboratory, arrange for the laboratory to pick up</w:t>
      </w:r>
      <w:r>
        <w:rPr>
          <w:spacing w:val="-44"/>
          <w:sz w:val="24"/>
        </w:rPr>
        <w:t> </w:t>
      </w:r>
      <w:r>
        <w:rPr>
          <w:sz w:val="24"/>
        </w:rPr>
        <w:t>the samples, or overnight ship the samples to the laboratory. All sample analysis shall be done in accordance with 40 CFR Part 136 unless an alternative method is approved as specified in section 2.2.2.2.6. Samples for pH have a holding time of 15</w:t>
      </w:r>
      <w:r>
        <w:rPr>
          <w:spacing w:val="-1"/>
          <w:sz w:val="24"/>
        </w:rPr>
        <w:t> </w:t>
      </w:r>
      <w:r>
        <w:rPr>
          <w:sz w:val="24"/>
        </w:rPr>
        <w:t>minutes.</w:t>
      </w:r>
      <w:r>
        <w:rPr>
          <w:position w:val="8"/>
          <w:sz w:val="16"/>
        </w:rPr>
        <w:t>2</w:t>
      </w:r>
    </w:p>
    <w:p>
      <w:pPr>
        <w:pStyle w:val="ListParagraph"/>
        <w:numPr>
          <w:ilvl w:val="3"/>
          <w:numId w:val="22"/>
        </w:numPr>
        <w:tabs>
          <w:tab w:pos="1359" w:val="left" w:leader="none"/>
          <w:tab w:pos="1360" w:val="left" w:leader="none"/>
        </w:tabs>
        <w:spacing w:line="240" w:lineRule="auto" w:before="236" w:after="0"/>
        <w:ind w:left="1359" w:right="1146" w:hanging="1080"/>
        <w:jc w:val="left"/>
        <w:rPr>
          <w:sz w:val="24"/>
        </w:rPr>
      </w:pPr>
      <w:r>
        <w:rPr>
          <w:sz w:val="24"/>
        </w:rPr>
        <w:t>For grab samples, use only the sample containers provided by the laboratory to collect and store samples. Use of any other type of containers may contaminate</w:t>
      </w:r>
      <w:r>
        <w:rPr>
          <w:spacing w:val="-1"/>
          <w:sz w:val="24"/>
        </w:rPr>
        <w:t> </w:t>
      </w:r>
      <w:r>
        <w:rPr>
          <w:sz w:val="24"/>
        </w:rPr>
        <w:t>samples.</w:t>
      </w:r>
    </w:p>
    <w:p>
      <w:pPr>
        <w:pStyle w:val="BodyText"/>
        <w:spacing w:before="10"/>
        <w:rPr>
          <w:sz w:val="20"/>
        </w:rPr>
      </w:pPr>
    </w:p>
    <w:p>
      <w:pPr>
        <w:pStyle w:val="ListParagraph"/>
        <w:numPr>
          <w:ilvl w:val="3"/>
          <w:numId w:val="22"/>
        </w:numPr>
        <w:tabs>
          <w:tab w:pos="1360" w:val="left" w:leader="none"/>
        </w:tabs>
        <w:spacing w:line="240" w:lineRule="auto" w:before="0" w:after="0"/>
        <w:ind w:left="1359" w:right="1238" w:hanging="1080"/>
        <w:jc w:val="both"/>
        <w:rPr>
          <w:sz w:val="24"/>
        </w:rPr>
      </w:pPr>
      <w:r>
        <w:rPr>
          <w:sz w:val="24"/>
        </w:rPr>
        <w:t>For automatic samplers that are not compatible with bottles provided by the laboratory, the Discharger is required to send the sample container included with the automatic sampler to the laboratory for</w:t>
      </w:r>
      <w:r>
        <w:rPr>
          <w:spacing w:val="-9"/>
          <w:sz w:val="24"/>
        </w:rPr>
        <w:t> </w:t>
      </w:r>
      <w:r>
        <w:rPr>
          <w:sz w:val="24"/>
        </w:rPr>
        <w:t>analysis.</w:t>
      </w:r>
    </w:p>
    <w:p>
      <w:pPr>
        <w:pStyle w:val="BodyText"/>
        <w:spacing w:before="10"/>
        <w:rPr>
          <w:sz w:val="20"/>
        </w:rPr>
      </w:pPr>
    </w:p>
    <w:p>
      <w:pPr>
        <w:pStyle w:val="ListParagraph"/>
        <w:numPr>
          <w:ilvl w:val="4"/>
          <w:numId w:val="22"/>
        </w:numPr>
        <w:tabs>
          <w:tab w:pos="1574" w:val="left" w:leader="none"/>
          <w:tab w:pos="1575" w:val="left" w:leader="none"/>
        </w:tabs>
        <w:spacing w:line="240" w:lineRule="auto" w:before="0" w:after="0"/>
        <w:ind w:left="1575" w:right="1265" w:hanging="1296"/>
        <w:jc w:val="left"/>
        <w:rPr>
          <w:sz w:val="24"/>
        </w:rPr>
      </w:pPr>
      <w:r>
        <w:rPr>
          <w:sz w:val="24"/>
        </w:rPr>
        <w:t>The Discharger can only use an automatic sampling device to collect samples for parameters that the device is designed to collect samples for. For pH, Dischargers can only use automatic sampling devices with the ability to read pH within 15 minutes of sample</w:t>
      </w:r>
      <w:r>
        <w:rPr>
          <w:spacing w:val="-6"/>
          <w:sz w:val="24"/>
        </w:rPr>
        <w:t> </w:t>
      </w:r>
      <w:r>
        <w:rPr>
          <w:sz w:val="24"/>
        </w:rPr>
        <w:t>collection.</w:t>
      </w:r>
    </w:p>
    <w:p>
      <w:pPr>
        <w:pStyle w:val="BodyText"/>
        <w:spacing w:before="9"/>
        <w:rPr>
          <w:sz w:val="20"/>
        </w:rPr>
      </w:pPr>
    </w:p>
    <w:p>
      <w:pPr>
        <w:pStyle w:val="ListParagraph"/>
        <w:numPr>
          <w:ilvl w:val="4"/>
          <w:numId w:val="22"/>
        </w:numPr>
        <w:tabs>
          <w:tab w:pos="1574" w:val="left" w:leader="none"/>
          <w:tab w:pos="1575" w:val="left" w:leader="none"/>
        </w:tabs>
        <w:spacing w:line="240" w:lineRule="auto" w:before="0" w:after="0"/>
        <w:ind w:left="1575" w:right="1319" w:hanging="1296"/>
        <w:jc w:val="left"/>
        <w:rPr>
          <w:sz w:val="24"/>
        </w:rPr>
      </w:pPr>
      <w:r>
        <w:rPr>
          <w:sz w:val="24"/>
        </w:rPr>
        <w:t>The Discharger is prohibited from using an automatic sampling device for oil and grease unless the automatic sampling device is specifically designed to sample for oil and</w:t>
      </w:r>
      <w:r>
        <w:rPr>
          <w:spacing w:val="-3"/>
          <w:sz w:val="24"/>
        </w:rPr>
        <w:t> </w:t>
      </w:r>
      <w:r>
        <w:rPr>
          <w:sz w:val="24"/>
        </w:rPr>
        <w:t>grease.</w:t>
      </w:r>
    </w:p>
    <w:p>
      <w:pPr>
        <w:pStyle w:val="BodyText"/>
        <w:spacing w:before="10"/>
        <w:rPr>
          <w:sz w:val="20"/>
        </w:rPr>
      </w:pPr>
    </w:p>
    <w:p>
      <w:pPr>
        <w:pStyle w:val="ListParagraph"/>
        <w:numPr>
          <w:ilvl w:val="3"/>
          <w:numId w:val="22"/>
        </w:numPr>
        <w:tabs>
          <w:tab w:pos="1359" w:val="left" w:leader="none"/>
          <w:tab w:pos="1360" w:val="left" w:leader="none"/>
        </w:tabs>
        <w:spacing w:line="240" w:lineRule="auto" w:before="0" w:after="0"/>
        <w:ind w:left="1359" w:right="1143" w:hanging="1080"/>
        <w:jc w:val="left"/>
        <w:rPr>
          <w:sz w:val="24"/>
        </w:rPr>
      </w:pPr>
      <w:r>
        <w:rPr>
          <w:sz w:val="24"/>
        </w:rPr>
        <w:t>To prevent contamination, do not touch the inside of sample container or cap or put anything into the sample containers before collecting stormwater samples.</w:t>
      </w:r>
    </w:p>
    <w:p>
      <w:pPr>
        <w:pStyle w:val="BodyText"/>
        <w:spacing w:before="10"/>
        <w:rPr>
          <w:sz w:val="20"/>
        </w:rPr>
      </w:pPr>
    </w:p>
    <w:p>
      <w:pPr>
        <w:pStyle w:val="ListParagraph"/>
        <w:numPr>
          <w:ilvl w:val="3"/>
          <w:numId w:val="22"/>
        </w:numPr>
        <w:tabs>
          <w:tab w:pos="1358" w:val="left" w:leader="none"/>
          <w:tab w:pos="1359" w:val="left" w:leader="none"/>
        </w:tabs>
        <w:spacing w:line="240" w:lineRule="auto" w:before="0" w:after="0"/>
        <w:ind w:left="1359" w:right="1842" w:hanging="1080"/>
        <w:jc w:val="left"/>
        <w:rPr>
          <w:sz w:val="24"/>
        </w:rPr>
      </w:pPr>
      <w:r>
        <w:rPr>
          <w:sz w:val="24"/>
        </w:rPr>
        <w:t>Do not overfill sample containers. Overfilling can change the</w:t>
      </w:r>
      <w:r>
        <w:rPr>
          <w:spacing w:val="-48"/>
          <w:sz w:val="24"/>
        </w:rPr>
        <w:t> </w:t>
      </w:r>
      <w:r>
        <w:rPr>
          <w:sz w:val="24"/>
        </w:rPr>
        <w:t>analytical results.</w:t>
      </w:r>
    </w:p>
    <w:p>
      <w:pPr>
        <w:pStyle w:val="BodyText"/>
        <w:rPr>
          <w:sz w:val="20"/>
        </w:rPr>
      </w:pPr>
    </w:p>
    <w:p>
      <w:pPr>
        <w:pStyle w:val="BodyText"/>
        <w:spacing w:before="8"/>
        <w:rPr>
          <w:sz w:val="11"/>
        </w:rPr>
      </w:pPr>
      <w:r>
        <w:rPr/>
        <w:pict>
          <v:shape style="position:absolute;margin-left:72pt;margin-top:9.010024pt;width:144pt;height:.1pt;mso-position-horizontal-relative:page;mso-position-vertical-relative:paragraph;z-index:-251642880;mso-wrap-distance-left:0;mso-wrap-distance-right:0" coordorigin="1440,180" coordsize="2880,0" path="m1440,180l4320,180e" filled="false" stroked="true" strokeweight=".600010pt" strokecolor="#000000">
            <v:path arrowok="t"/>
            <v:stroke dashstyle="solid"/>
            <w10:wrap type="topAndBottom"/>
          </v:shape>
        </w:pict>
      </w:r>
    </w:p>
    <w:p>
      <w:pPr>
        <w:pStyle w:val="BodyText"/>
        <w:rPr>
          <w:sz w:val="20"/>
        </w:rPr>
      </w:pPr>
    </w:p>
    <w:p>
      <w:pPr>
        <w:pStyle w:val="BodyText"/>
        <w:spacing w:before="5"/>
        <w:rPr>
          <w:sz w:val="22"/>
        </w:rPr>
      </w:pPr>
    </w:p>
    <w:p>
      <w:pPr>
        <w:pStyle w:val="BodyText"/>
        <w:spacing w:before="95"/>
        <w:ind w:left="280" w:right="1035"/>
      </w:pPr>
      <w:r>
        <w:rPr>
          <w:position w:val="8"/>
          <w:sz w:val="16"/>
        </w:rPr>
        <w:t>2 </w:t>
      </w:r>
      <w:r>
        <w:rPr/>
        <w:t>40 CFR section 136.3, Table II – Required Container, Preservation Techniques, and Holding Times</w:t>
      </w:r>
    </w:p>
    <w:p>
      <w:pPr>
        <w:spacing w:after="0"/>
        <w:sectPr>
          <w:pgSz w:w="12240" w:h="15840"/>
          <w:pgMar w:header="728" w:footer="788" w:top="1540" w:bottom="980" w:left="1160" w:right="420"/>
        </w:sectPr>
      </w:pPr>
    </w:p>
    <w:p>
      <w:pPr>
        <w:pStyle w:val="BodyText"/>
        <w:spacing w:before="11"/>
        <w:rPr>
          <w:sz w:val="15"/>
        </w:rPr>
      </w:pPr>
    </w:p>
    <w:p>
      <w:pPr>
        <w:pStyle w:val="ListParagraph"/>
        <w:numPr>
          <w:ilvl w:val="3"/>
          <w:numId w:val="22"/>
        </w:numPr>
        <w:tabs>
          <w:tab w:pos="1359" w:val="left" w:leader="none"/>
          <w:tab w:pos="1360" w:val="left" w:leader="none"/>
        </w:tabs>
        <w:spacing w:line="240" w:lineRule="auto" w:before="92" w:after="0"/>
        <w:ind w:left="1360" w:right="1761" w:hanging="1080"/>
        <w:jc w:val="left"/>
        <w:rPr>
          <w:sz w:val="24"/>
        </w:rPr>
      </w:pPr>
      <w:r>
        <w:rPr>
          <w:sz w:val="24"/>
        </w:rPr>
        <w:t>Tightly screw on the cap of each sample container without stripping the threads of the</w:t>
      </w:r>
      <w:r>
        <w:rPr>
          <w:spacing w:val="-1"/>
          <w:sz w:val="24"/>
        </w:rPr>
        <w:t> </w:t>
      </w:r>
      <w:r>
        <w:rPr>
          <w:sz w:val="24"/>
        </w:rPr>
        <w:t>cap.</w:t>
      </w:r>
    </w:p>
    <w:p>
      <w:pPr>
        <w:pStyle w:val="BodyText"/>
        <w:spacing w:before="10"/>
        <w:rPr>
          <w:sz w:val="20"/>
        </w:rPr>
      </w:pPr>
    </w:p>
    <w:p>
      <w:pPr>
        <w:pStyle w:val="ListParagraph"/>
        <w:numPr>
          <w:ilvl w:val="3"/>
          <w:numId w:val="22"/>
        </w:numPr>
        <w:tabs>
          <w:tab w:pos="1359" w:val="left" w:leader="none"/>
          <w:tab w:pos="1360" w:val="left" w:leader="none"/>
        </w:tabs>
        <w:spacing w:line="240" w:lineRule="auto" w:before="0" w:after="0"/>
        <w:ind w:left="1360" w:right="1158" w:hanging="1080"/>
        <w:jc w:val="left"/>
        <w:rPr>
          <w:sz w:val="24"/>
        </w:rPr>
      </w:pPr>
      <w:r>
        <w:rPr>
          <w:sz w:val="24"/>
        </w:rPr>
        <w:t>Complete and attach a label for each sample container. The label shall identify the date and time of sample collection, the person taking the sample, and the sample collection location or discharge point. The label should also identify any sample containers that have been</w:t>
      </w:r>
      <w:r>
        <w:rPr>
          <w:spacing w:val="-6"/>
          <w:sz w:val="24"/>
        </w:rPr>
        <w:t> </w:t>
      </w:r>
      <w:r>
        <w:rPr>
          <w:sz w:val="24"/>
        </w:rPr>
        <w:t>preserved.</w:t>
      </w:r>
    </w:p>
    <w:p>
      <w:pPr>
        <w:pStyle w:val="BodyText"/>
        <w:spacing w:before="10"/>
        <w:rPr>
          <w:sz w:val="20"/>
        </w:rPr>
      </w:pPr>
    </w:p>
    <w:p>
      <w:pPr>
        <w:pStyle w:val="ListParagraph"/>
        <w:numPr>
          <w:ilvl w:val="3"/>
          <w:numId w:val="22"/>
        </w:numPr>
        <w:tabs>
          <w:tab w:pos="1359" w:val="left" w:leader="none"/>
          <w:tab w:pos="1360" w:val="left" w:leader="none"/>
        </w:tabs>
        <w:spacing w:line="240" w:lineRule="auto" w:before="0" w:after="0"/>
        <w:ind w:left="1360" w:right="1063" w:hanging="1080"/>
        <w:jc w:val="left"/>
        <w:rPr>
          <w:sz w:val="24"/>
        </w:rPr>
      </w:pPr>
      <w:r>
        <w:rPr>
          <w:sz w:val="24"/>
        </w:rPr>
        <w:t>Carefully pack sample containers into an ice chest or refrigerator to prevent breakage and maintain temperature during shipment. Remember to place frozen ice packs into shipping containers. Samples should be kept as close to 4 degrees Celsius (39 degrees Fahrenheit) as possible until arriving to the laboratory. Do not freeze</w:t>
      </w:r>
      <w:r>
        <w:rPr>
          <w:spacing w:val="-3"/>
          <w:sz w:val="24"/>
        </w:rPr>
        <w:t> </w:t>
      </w:r>
      <w:r>
        <w:rPr>
          <w:sz w:val="24"/>
        </w:rPr>
        <w:t>samples.</w:t>
      </w:r>
    </w:p>
    <w:p>
      <w:pPr>
        <w:pStyle w:val="BodyText"/>
        <w:spacing w:before="10"/>
        <w:rPr>
          <w:sz w:val="20"/>
        </w:rPr>
      </w:pPr>
    </w:p>
    <w:p>
      <w:pPr>
        <w:pStyle w:val="ListParagraph"/>
        <w:numPr>
          <w:ilvl w:val="3"/>
          <w:numId w:val="22"/>
        </w:numPr>
        <w:tabs>
          <w:tab w:pos="1360" w:val="left" w:leader="none"/>
        </w:tabs>
        <w:spacing w:line="240" w:lineRule="auto" w:before="1" w:after="0"/>
        <w:ind w:left="1360" w:right="1171" w:hanging="1080"/>
        <w:jc w:val="left"/>
        <w:rPr>
          <w:sz w:val="24"/>
        </w:rPr>
      </w:pPr>
      <w:r>
        <w:rPr>
          <w:sz w:val="24"/>
        </w:rPr>
        <w:t>Complete a Chain of Custody form for each set of samples. The Chain of Custody form shall include the Discharger’s name, address, and phone number, identification of each sample container and sample collection point, person collecting the samples, the date and time each sample container was filled, and the analysis that is required for each sample</w:t>
      </w:r>
      <w:r>
        <w:rPr>
          <w:spacing w:val="-15"/>
          <w:sz w:val="24"/>
        </w:rPr>
        <w:t> </w:t>
      </w:r>
      <w:r>
        <w:rPr>
          <w:sz w:val="24"/>
        </w:rPr>
        <w:t>container.</w:t>
      </w:r>
    </w:p>
    <w:p>
      <w:pPr>
        <w:pStyle w:val="BodyText"/>
        <w:spacing w:before="10"/>
        <w:rPr>
          <w:sz w:val="20"/>
        </w:rPr>
      </w:pPr>
    </w:p>
    <w:p>
      <w:pPr>
        <w:pStyle w:val="ListParagraph"/>
        <w:numPr>
          <w:ilvl w:val="3"/>
          <w:numId w:val="22"/>
        </w:numPr>
        <w:tabs>
          <w:tab w:pos="1360" w:val="left" w:leader="none"/>
        </w:tabs>
        <w:spacing w:line="240" w:lineRule="auto" w:before="0" w:after="0"/>
        <w:ind w:left="1360" w:right="1094" w:hanging="1080"/>
        <w:jc w:val="left"/>
        <w:rPr>
          <w:sz w:val="24"/>
        </w:rPr>
      </w:pPr>
      <w:r>
        <w:rPr>
          <w:sz w:val="24"/>
        </w:rPr>
        <w:t>Upon</w:t>
      </w:r>
      <w:r>
        <w:rPr>
          <w:spacing w:val="-6"/>
          <w:sz w:val="24"/>
        </w:rPr>
        <w:t> </w:t>
      </w:r>
      <w:r>
        <w:rPr>
          <w:sz w:val="24"/>
        </w:rPr>
        <w:t>shipping/delivering</w:t>
      </w:r>
      <w:r>
        <w:rPr>
          <w:spacing w:val="-5"/>
          <w:sz w:val="24"/>
        </w:rPr>
        <w:t> </w:t>
      </w:r>
      <w:r>
        <w:rPr>
          <w:sz w:val="24"/>
        </w:rPr>
        <w:t>the</w:t>
      </w:r>
      <w:r>
        <w:rPr>
          <w:spacing w:val="-6"/>
          <w:sz w:val="24"/>
        </w:rPr>
        <w:t> </w:t>
      </w:r>
      <w:r>
        <w:rPr>
          <w:sz w:val="24"/>
        </w:rPr>
        <w:t>sample</w:t>
      </w:r>
      <w:r>
        <w:rPr>
          <w:spacing w:val="-5"/>
          <w:sz w:val="24"/>
        </w:rPr>
        <w:t> </w:t>
      </w:r>
      <w:r>
        <w:rPr>
          <w:sz w:val="24"/>
        </w:rPr>
        <w:t>containers,</w:t>
      </w:r>
      <w:r>
        <w:rPr>
          <w:spacing w:val="-6"/>
          <w:sz w:val="24"/>
        </w:rPr>
        <w:t> </w:t>
      </w:r>
      <w:r>
        <w:rPr>
          <w:sz w:val="24"/>
        </w:rPr>
        <w:t>obtain</w:t>
      </w:r>
      <w:r>
        <w:rPr>
          <w:spacing w:val="-6"/>
          <w:sz w:val="24"/>
        </w:rPr>
        <w:t> </w:t>
      </w:r>
      <w:r>
        <w:rPr>
          <w:sz w:val="24"/>
        </w:rPr>
        <w:t>both</w:t>
      </w:r>
      <w:r>
        <w:rPr>
          <w:spacing w:val="-5"/>
          <w:sz w:val="24"/>
        </w:rPr>
        <w:t> </w:t>
      </w:r>
      <w:r>
        <w:rPr>
          <w:sz w:val="24"/>
        </w:rPr>
        <w:t>the</w:t>
      </w:r>
      <w:r>
        <w:rPr>
          <w:spacing w:val="-6"/>
          <w:sz w:val="24"/>
        </w:rPr>
        <w:t> </w:t>
      </w:r>
      <w:r>
        <w:rPr>
          <w:sz w:val="24"/>
        </w:rPr>
        <w:t>signatures</w:t>
      </w:r>
      <w:r>
        <w:rPr>
          <w:spacing w:val="-5"/>
          <w:sz w:val="24"/>
        </w:rPr>
        <w:t> </w:t>
      </w:r>
      <w:r>
        <w:rPr>
          <w:sz w:val="24"/>
        </w:rPr>
        <w:t>of the persons relinquishing and receiving the sample</w:t>
      </w:r>
      <w:r>
        <w:rPr>
          <w:spacing w:val="-10"/>
          <w:sz w:val="24"/>
        </w:rPr>
        <w:t> </w:t>
      </w:r>
      <w:r>
        <w:rPr>
          <w:sz w:val="24"/>
        </w:rPr>
        <w:t>containers.</w:t>
      </w:r>
    </w:p>
    <w:p>
      <w:pPr>
        <w:pStyle w:val="BodyText"/>
        <w:spacing w:before="10"/>
        <w:rPr>
          <w:sz w:val="20"/>
        </w:rPr>
      </w:pPr>
    </w:p>
    <w:p>
      <w:pPr>
        <w:pStyle w:val="ListParagraph"/>
        <w:numPr>
          <w:ilvl w:val="4"/>
          <w:numId w:val="22"/>
        </w:numPr>
        <w:tabs>
          <w:tab w:pos="1574" w:val="left" w:leader="none"/>
        </w:tabs>
        <w:spacing w:line="240" w:lineRule="auto" w:before="0" w:after="0"/>
        <w:ind w:left="1576" w:right="1422" w:hanging="1296"/>
        <w:jc w:val="left"/>
        <w:rPr>
          <w:sz w:val="24"/>
        </w:rPr>
      </w:pPr>
      <w:r>
        <w:rPr>
          <w:sz w:val="24"/>
        </w:rPr>
        <w:t>Dischargers shall designate and train personnel to collect, maintain, and ship samples in accordance with the sample protocols and laboratory practices.</w:t>
      </w:r>
    </w:p>
    <w:p>
      <w:pPr>
        <w:pStyle w:val="BodyText"/>
        <w:spacing w:before="8"/>
        <w:rPr>
          <w:sz w:val="20"/>
        </w:rPr>
      </w:pPr>
    </w:p>
    <w:p>
      <w:pPr>
        <w:pStyle w:val="ListParagraph"/>
        <w:numPr>
          <w:ilvl w:val="3"/>
          <w:numId w:val="22"/>
        </w:numPr>
        <w:tabs>
          <w:tab w:pos="1360" w:val="left" w:leader="none"/>
        </w:tabs>
        <w:spacing w:line="240" w:lineRule="auto" w:before="1" w:after="0"/>
        <w:ind w:left="1360" w:right="1026" w:hanging="1080"/>
        <w:jc w:val="left"/>
        <w:rPr>
          <w:sz w:val="24"/>
        </w:rPr>
      </w:pPr>
      <w:r>
        <w:rPr>
          <w:sz w:val="24"/>
        </w:rPr>
        <w:t>All sampling and sample preservation shall be in accordance with 40 CFR Part 136 and the most recent edition of </w:t>
      </w:r>
      <w:r>
        <w:rPr>
          <w:i/>
          <w:sz w:val="24"/>
        </w:rPr>
        <w:t>Standard Methods for the </w:t>
      </w:r>
      <w:r>
        <w:rPr>
          <w:i/>
          <w:sz w:val="24"/>
        </w:rPr>
        <w:t>Examination of Water and Wastewater </w:t>
      </w:r>
      <w:r>
        <w:rPr>
          <w:sz w:val="24"/>
        </w:rPr>
        <w:t>(American Public Health Association). All monitoring instruments and equipment (including Discharger field instruments for measuring pH or specific conductance if identified as an additional sampling parameter) shall be calibrated and maintained in accordance with manufacturers’ specifications to ensure accurate measurements. All laboratory analyses shall be conducted according to approved test procedures under 40 CFR Part 136 unless other test procedures have been specified by the Los Angeles Water Board. All metals shall be reported as total recoverable metals. Dischargers may conduct their own field analysis of pH (or specific conductance if identified as an additional sampling parameter) if the Discharger has sufficient capability (qualified and trained employees, properly calibrated and maintained field instruments, etc.) to adequately perform the field analysis. With the exception of field analysis conducted by Dischargers for pH (or specific conductance if identified as an additional sampling parameter), all analyses shall be sent to and conducted at a laboratory certified for such analyses by the State Water Resources Control Board’s Environmental Laboratory Accreditation Program</w:t>
      </w:r>
      <w:r>
        <w:rPr>
          <w:spacing w:val="-6"/>
          <w:sz w:val="24"/>
        </w:rPr>
        <w:t> </w:t>
      </w:r>
      <w:r>
        <w:rPr>
          <w:sz w:val="24"/>
        </w:rPr>
        <w:t>(ELAP).</w:t>
      </w:r>
    </w:p>
    <w:p>
      <w:pPr>
        <w:spacing w:after="0" w:line="240" w:lineRule="auto"/>
        <w:jc w:val="left"/>
        <w:rPr>
          <w:sz w:val="24"/>
        </w:rPr>
        <w:sectPr>
          <w:pgSz w:w="12240" w:h="15840"/>
          <w:pgMar w:header="728" w:footer="788" w:top="1540" w:bottom="980" w:left="1160" w:right="420"/>
        </w:sectPr>
      </w:pPr>
    </w:p>
    <w:p>
      <w:pPr>
        <w:pStyle w:val="BodyText"/>
        <w:spacing w:before="11"/>
        <w:rPr>
          <w:sz w:val="15"/>
        </w:rPr>
      </w:pPr>
    </w:p>
    <w:p>
      <w:pPr>
        <w:pStyle w:val="BodyText"/>
        <w:spacing w:before="92"/>
        <w:ind w:left="1360" w:right="1115"/>
      </w:pPr>
      <w:r>
        <w:rPr/>
        <w:t>Dischargers are required to report to the Los Angeles Water Board any sampling data collected more frequently than required in this General Permit.</w:t>
      </w:r>
    </w:p>
    <w:p>
      <w:pPr>
        <w:pStyle w:val="BodyText"/>
        <w:spacing w:before="10"/>
        <w:rPr>
          <w:sz w:val="20"/>
        </w:rPr>
      </w:pPr>
    </w:p>
    <w:p>
      <w:pPr>
        <w:pStyle w:val="Heading1"/>
        <w:numPr>
          <w:ilvl w:val="2"/>
          <w:numId w:val="23"/>
        </w:numPr>
        <w:tabs>
          <w:tab w:pos="1100" w:val="left" w:leader="none"/>
          <w:tab w:pos="1101" w:val="left" w:leader="none"/>
        </w:tabs>
        <w:spacing w:line="240" w:lineRule="auto" w:before="0" w:after="0"/>
        <w:ind w:left="1100" w:right="0" w:hanging="821"/>
        <w:jc w:val="left"/>
      </w:pPr>
      <w:r>
        <w:rPr/>
        <w:t>Sampling Event Visual</w:t>
      </w:r>
      <w:r>
        <w:rPr>
          <w:spacing w:val="-1"/>
        </w:rPr>
        <w:t> </w:t>
      </w:r>
      <w:r>
        <w:rPr/>
        <w:t>Observations.</w:t>
      </w:r>
    </w:p>
    <w:p>
      <w:pPr>
        <w:pStyle w:val="BodyText"/>
        <w:spacing w:before="10"/>
        <w:rPr>
          <w:b/>
          <w:sz w:val="20"/>
        </w:rPr>
      </w:pPr>
    </w:p>
    <w:p>
      <w:pPr>
        <w:pStyle w:val="ListParagraph"/>
        <w:numPr>
          <w:ilvl w:val="3"/>
          <w:numId w:val="23"/>
        </w:numPr>
        <w:tabs>
          <w:tab w:pos="1358" w:val="left" w:leader="none"/>
          <w:tab w:pos="1360" w:val="left" w:leader="none"/>
        </w:tabs>
        <w:spacing w:line="240" w:lineRule="auto" w:before="0" w:after="0"/>
        <w:ind w:left="1360" w:right="1212" w:hanging="1080"/>
        <w:jc w:val="left"/>
        <w:rPr>
          <w:sz w:val="24"/>
        </w:rPr>
      </w:pPr>
      <w:r>
        <w:rPr>
          <w:sz w:val="24"/>
        </w:rPr>
        <w:t>Visual observations of stormwater discharges shall be conducted at the time that the discharge is</w:t>
      </w:r>
      <w:r>
        <w:rPr>
          <w:spacing w:val="-1"/>
          <w:sz w:val="24"/>
        </w:rPr>
        <w:t> </w:t>
      </w:r>
      <w:r>
        <w:rPr>
          <w:sz w:val="24"/>
        </w:rPr>
        <w:t>sampled.</w:t>
      </w:r>
    </w:p>
    <w:p>
      <w:pPr>
        <w:pStyle w:val="BodyText"/>
        <w:spacing w:before="10"/>
        <w:rPr>
          <w:sz w:val="20"/>
        </w:rPr>
      </w:pPr>
    </w:p>
    <w:p>
      <w:pPr>
        <w:pStyle w:val="ListParagraph"/>
        <w:numPr>
          <w:ilvl w:val="3"/>
          <w:numId w:val="23"/>
        </w:numPr>
        <w:tabs>
          <w:tab w:pos="1359" w:val="left" w:leader="none"/>
          <w:tab w:pos="1360" w:val="left" w:leader="none"/>
        </w:tabs>
        <w:spacing w:line="240" w:lineRule="auto" w:before="0" w:after="0"/>
        <w:ind w:left="1359" w:right="0" w:hanging="1080"/>
        <w:jc w:val="left"/>
        <w:rPr>
          <w:sz w:val="24"/>
        </w:rPr>
      </w:pPr>
      <w:r>
        <w:rPr>
          <w:sz w:val="24"/>
        </w:rPr>
        <w:t>The Discharger shall visually observe and record the</w:t>
      </w:r>
      <w:r>
        <w:rPr>
          <w:spacing w:val="-5"/>
          <w:sz w:val="24"/>
        </w:rPr>
        <w:t> </w:t>
      </w:r>
      <w:r>
        <w:rPr>
          <w:sz w:val="24"/>
        </w:rPr>
        <w:t>following:</w:t>
      </w:r>
    </w:p>
    <w:p>
      <w:pPr>
        <w:pStyle w:val="BodyText"/>
        <w:spacing w:before="10"/>
        <w:rPr>
          <w:sz w:val="20"/>
        </w:rPr>
      </w:pPr>
    </w:p>
    <w:p>
      <w:pPr>
        <w:pStyle w:val="ListParagraph"/>
        <w:numPr>
          <w:ilvl w:val="4"/>
          <w:numId w:val="23"/>
        </w:numPr>
        <w:tabs>
          <w:tab w:pos="1575" w:val="left" w:leader="none"/>
          <w:tab w:pos="1576" w:val="left" w:leader="none"/>
        </w:tabs>
        <w:spacing w:line="240" w:lineRule="auto" w:before="0" w:after="0"/>
        <w:ind w:left="1576" w:right="1662" w:hanging="1296"/>
        <w:jc w:val="left"/>
        <w:rPr>
          <w:sz w:val="24"/>
        </w:rPr>
      </w:pPr>
      <w:r>
        <w:rPr>
          <w:sz w:val="24"/>
        </w:rPr>
        <w:t>The presence or indications of prior, current, or potential unauthorized NSWDs and their</w:t>
      </w:r>
      <w:r>
        <w:rPr>
          <w:spacing w:val="-1"/>
          <w:sz w:val="24"/>
        </w:rPr>
        <w:t> </w:t>
      </w:r>
      <w:r>
        <w:rPr>
          <w:sz w:val="24"/>
        </w:rPr>
        <w:t>sources;</w:t>
      </w:r>
    </w:p>
    <w:p>
      <w:pPr>
        <w:pStyle w:val="BodyText"/>
        <w:spacing w:before="10"/>
        <w:rPr>
          <w:sz w:val="20"/>
        </w:rPr>
      </w:pPr>
    </w:p>
    <w:p>
      <w:pPr>
        <w:pStyle w:val="ListParagraph"/>
        <w:numPr>
          <w:ilvl w:val="4"/>
          <w:numId w:val="23"/>
        </w:numPr>
        <w:tabs>
          <w:tab w:pos="1574" w:val="left" w:leader="none"/>
          <w:tab w:pos="1575" w:val="left" w:leader="none"/>
        </w:tabs>
        <w:spacing w:line="240" w:lineRule="auto" w:before="1" w:after="0"/>
        <w:ind w:left="1576" w:right="1240" w:hanging="1296"/>
        <w:jc w:val="left"/>
        <w:rPr>
          <w:sz w:val="24"/>
        </w:rPr>
      </w:pPr>
      <w:r>
        <w:rPr>
          <w:sz w:val="24"/>
        </w:rPr>
        <w:t>Authorized NSWDs, sources, and associated BMPs to ensure compliance with section 5 of the</w:t>
      </w:r>
      <w:r>
        <w:rPr>
          <w:spacing w:val="-2"/>
          <w:sz w:val="24"/>
        </w:rPr>
        <w:t> </w:t>
      </w:r>
      <w:r>
        <w:rPr>
          <w:sz w:val="24"/>
        </w:rPr>
        <w:t>Order;</w:t>
      </w:r>
    </w:p>
    <w:p>
      <w:pPr>
        <w:pStyle w:val="BodyText"/>
        <w:spacing w:before="9"/>
        <w:rPr>
          <w:sz w:val="20"/>
        </w:rPr>
      </w:pPr>
    </w:p>
    <w:p>
      <w:pPr>
        <w:pStyle w:val="ListParagraph"/>
        <w:numPr>
          <w:ilvl w:val="4"/>
          <w:numId w:val="23"/>
        </w:numPr>
        <w:tabs>
          <w:tab w:pos="1574" w:val="left" w:leader="none"/>
          <w:tab w:pos="1575" w:val="left" w:leader="none"/>
        </w:tabs>
        <w:spacing w:line="240" w:lineRule="auto" w:before="1" w:after="0"/>
        <w:ind w:left="1576" w:right="1211" w:hanging="1296"/>
        <w:jc w:val="left"/>
        <w:rPr>
          <w:sz w:val="24"/>
        </w:rPr>
      </w:pPr>
      <w:r>
        <w:rPr>
          <w:sz w:val="24"/>
        </w:rPr>
        <w:t>Outdoor commercial and/or industrial equipment and storage areas, outdoor</w:t>
      </w:r>
      <w:r>
        <w:rPr>
          <w:spacing w:val="-6"/>
          <w:sz w:val="24"/>
        </w:rPr>
        <w:t> </w:t>
      </w:r>
      <w:r>
        <w:rPr>
          <w:sz w:val="24"/>
        </w:rPr>
        <w:t>industrial</w:t>
      </w:r>
      <w:r>
        <w:rPr>
          <w:spacing w:val="-5"/>
          <w:sz w:val="24"/>
        </w:rPr>
        <w:t> </w:t>
      </w:r>
      <w:r>
        <w:rPr>
          <w:sz w:val="24"/>
        </w:rPr>
        <w:t>activities</w:t>
      </w:r>
      <w:r>
        <w:rPr>
          <w:spacing w:val="-5"/>
          <w:sz w:val="24"/>
        </w:rPr>
        <w:t> </w:t>
      </w:r>
      <w:r>
        <w:rPr>
          <w:sz w:val="24"/>
        </w:rPr>
        <w:t>areas,</w:t>
      </w:r>
      <w:r>
        <w:rPr>
          <w:spacing w:val="-5"/>
          <w:sz w:val="24"/>
        </w:rPr>
        <w:t> </w:t>
      </w:r>
      <w:r>
        <w:rPr>
          <w:sz w:val="24"/>
        </w:rPr>
        <w:t>BMPs,</w:t>
      </w:r>
      <w:r>
        <w:rPr>
          <w:spacing w:val="-5"/>
          <w:sz w:val="24"/>
        </w:rPr>
        <w:t> </w:t>
      </w:r>
      <w:r>
        <w:rPr>
          <w:sz w:val="24"/>
        </w:rPr>
        <w:t>and</w:t>
      </w:r>
      <w:r>
        <w:rPr>
          <w:spacing w:val="-5"/>
          <w:sz w:val="24"/>
        </w:rPr>
        <w:t> </w:t>
      </w:r>
      <w:r>
        <w:rPr>
          <w:sz w:val="24"/>
        </w:rPr>
        <w:t>all</w:t>
      </w:r>
      <w:r>
        <w:rPr>
          <w:spacing w:val="-5"/>
          <w:sz w:val="24"/>
        </w:rPr>
        <w:t> </w:t>
      </w:r>
      <w:r>
        <w:rPr>
          <w:sz w:val="24"/>
        </w:rPr>
        <w:t>other</w:t>
      </w:r>
      <w:r>
        <w:rPr>
          <w:spacing w:val="-5"/>
          <w:sz w:val="24"/>
        </w:rPr>
        <w:t> </w:t>
      </w:r>
      <w:r>
        <w:rPr>
          <w:sz w:val="24"/>
        </w:rPr>
        <w:t>potential</w:t>
      </w:r>
      <w:r>
        <w:rPr>
          <w:spacing w:val="-5"/>
          <w:sz w:val="24"/>
        </w:rPr>
        <w:t> </w:t>
      </w:r>
      <w:r>
        <w:rPr>
          <w:sz w:val="24"/>
        </w:rPr>
        <w:t>sources</w:t>
      </w:r>
      <w:r>
        <w:rPr>
          <w:spacing w:val="-5"/>
          <w:sz w:val="24"/>
        </w:rPr>
        <w:t> </w:t>
      </w:r>
      <w:r>
        <w:rPr>
          <w:sz w:val="24"/>
        </w:rPr>
        <w:t>of industrial pollutants;</w:t>
      </w:r>
      <w:r>
        <w:rPr>
          <w:spacing w:val="-1"/>
          <w:sz w:val="24"/>
        </w:rPr>
        <w:t> </w:t>
      </w:r>
      <w:r>
        <w:rPr>
          <w:sz w:val="24"/>
        </w:rPr>
        <w:t>and</w:t>
      </w:r>
    </w:p>
    <w:p>
      <w:pPr>
        <w:pStyle w:val="BodyText"/>
        <w:spacing w:before="9"/>
        <w:rPr>
          <w:sz w:val="20"/>
        </w:rPr>
      </w:pPr>
    </w:p>
    <w:p>
      <w:pPr>
        <w:pStyle w:val="ListParagraph"/>
        <w:numPr>
          <w:ilvl w:val="4"/>
          <w:numId w:val="23"/>
        </w:numPr>
        <w:tabs>
          <w:tab w:pos="1574" w:val="left" w:leader="none"/>
          <w:tab w:pos="1575" w:val="left" w:leader="none"/>
        </w:tabs>
        <w:spacing w:line="240" w:lineRule="auto" w:before="1" w:after="0"/>
        <w:ind w:left="1576" w:right="1327" w:hanging="1296"/>
        <w:jc w:val="left"/>
        <w:rPr>
          <w:sz w:val="24"/>
        </w:rPr>
      </w:pPr>
      <w:r>
        <w:rPr>
          <w:sz w:val="24"/>
        </w:rPr>
        <w:t>The presence or absence of floating and suspended materials, oil and grease, discolorations, turbidity, odors, trash/debris, and source(s) of any discharged</w:t>
      </w:r>
      <w:r>
        <w:rPr>
          <w:spacing w:val="-1"/>
          <w:sz w:val="24"/>
        </w:rPr>
        <w:t> </w:t>
      </w:r>
      <w:r>
        <w:rPr>
          <w:sz w:val="24"/>
        </w:rPr>
        <w:t>pollutants.</w:t>
      </w:r>
    </w:p>
    <w:p>
      <w:pPr>
        <w:pStyle w:val="BodyText"/>
        <w:spacing w:before="10"/>
        <w:rPr>
          <w:sz w:val="20"/>
        </w:rPr>
      </w:pPr>
    </w:p>
    <w:p>
      <w:pPr>
        <w:pStyle w:val="ListParagraph"/>
        <w:numPr>
          <w:ilvl w:val="3"/>
          <w:numId w:val="23"/>
        </w:numPr>
        <w:tabs>
          <w:tab w:pos="1358" w:val="left" w:leader="none"/>
          <w:tab w:pos="1360" w:val="left" w:leader="none"/>
        </w:tabs>
        <w:spacing w:line="240" w:lineRule="auto" w:before="0" w:after="0"/>
        <w:ind w:left="1360" w:right="1134" w:hanging="1080"/>
        <w:jc w:val="left"/>
        <w:rPr>
          <w:sz w:val="24"/>
        </w:rPr>
      </w:pPr>
      <w:r>
        <w:rPr>
          <w:sz w:val="24"/>
        </w:rPr>
        <w:t>In the event that a discharge location is not visually observed during the sampling event, the Discharger shall record which discharge location(s) were not observed during sampling or that there was no discharge from the discharge</w:t>
      </w:r>
      <w:r>
        <w:rPr>
          <w:spacing w:val="-1"/>
          <w:sz w:val="24"/>
        </w:rPr>
        <w:t> </w:t>
      </w:r>
      <w:r>
        <w:rPr>
          <w:sz w:val="24"/>
        </w:rPr>
        <w:t>location.</w:t>
      </w:r>
    </w:p>
    <w:p>
      <w:pPr>
        <w:pStyle w:val="BodyText"/>
        <w:spacing w:before="10"/>
        <w:rPr>
          <w:sz w:val="20"/>
        </w:rPr>
      </w:pPr>
    </w:p>
    <w:p>
      <w:pPr>
        <w:pStyle w:val="ListParagraph"/>
        <w:numPr>
          <w:ilvl w:val="3"/>
          <w:numId w:val="23"/>
        </w:numPr>
        <w:tabs>
          <w:tab w:pos="1358" w:val="left" w:leader="none"/>
          <w:tab w:pos="1359" w:val="left" w:leader="none"/>
        </w:tabs>
        <w:spacing w:line="240" w:lineRule="auto" w:before="0" w:after="0"/>
        <w:ind w:left="1360" w:right="1390" w:hanging="1080"/>
        <w:jc w:val="left"/>
        <w:rPr>
          <w:sz w:val="24"/>
        </w:rPr>
      </w:pPr>
      <w:r>
        <w:rPr>
          <w:sz w:val="24"/>
        </w:rPr>
        <w:t>The Discharger shall provide an explanation via SMARTS for</w:t>
      </w:r>
      <w:r>
        <w:rPr>
          <w:spacing w:val="-45"/>
          <w:sz w:val="24"/>
        </w:rPr>
        <w:t> </w:t>
      </w:r>
      <w:r>
        <w:rPr>
          <w:sz w:val="24"/>
        </w:rPr>
        <w:t>uncompleted sampling event visual</w:t>
      </w:r>
      <w:r>
        <w:rPr>
          <w:spacing w:val="-2"/>
          <w:sz w:val="24"/>
        </w:rPr>
        <w:t> </w:t>
      </w:r>
      <w:r>
        <w:rPr>
          <w:sz w:val="24"/>
        </w:rPr>
        <w:t>observations.</w:t>
      </w:r>
    </w:p>
    <w:p>
      <w:pPr>
        <w:pStyle w:val="BodyText"/>
        <w:spacing w:before="9"/>
        <w:rPr>
          <w:sz w:val="20"/>
        </w:rPr>
      </w:pPr>
    </w:p>
    <w:p>
      <w:pPr>
        <w:pStyle w:val="Heading1"/>
        <w:numPr>
          <w:ilvl w:val="2"/>
          <w:numId w:val="23"/>
        </w:numPr>
        <w:tabs>
          <w:tab w:pos="1100" w:val="left" w:leader="none"/>
          <w:tab w:pos="1101" w:val="left" w:leader="none"/>
        </w:tabs>
        <w:spacing w:line="240" w:lineRule="auto" w:before="0" w:after="0"/>
        <w:ind w:left="1100" w:right="0" w:hanging="821"/>
        <w:jc w:val="left"/>
      </w:pPr>
      <w:r>
        <w:rPr/>
        <w:t>Sample Collection and Visual Observation</w:t>
      </w:r>
      <w:r>
        <w:rPr>
          <w:spacing w:val="-3"/>
        </w:rPr>
        <w:t> </w:t>
      </w:r>
      <w:r>
        <w:rPr/>
        <w:t>Exceptions.</w:t>
      </w:r>
    </w:p>
    <w:p>
      <w:pPr>
        <w:pStyle w:val="BodyText"/>
        <w:spacing w:before="10"/>
        <w:rPr>
          <w:b/>
          <w:sz w:val="20"/>
        </w:rPr>
      </w:pPr>
    </w:p>
    <w:p>
      <w:pPr>
        <w:pStyle w:val="ListParagraph"/>
        <w:numPr>
          <w:ilvl w:val="3"/>
          <w:numId w:val="23"/>
        </w:numPr>
        <w:tabs>
          <w:tab w:pos="1358" w:val="left" w:leader="none"/>
          <w:tab w:pos="1359" w:val="left" w:leader="none"/>
        </w:tabs>
        <w:spacing w:line="240" w:lineRule="auto" w:before="0" w:after="0"/>
        <w:ind w:left="1360" w:right="2000" w:hanging="1080"/>
        <w:jc w:val="left"/>
        <w:rPr>
          <w:sz w:val="24"/>
        </w:rPr>
      </w:pPr>
      <w:r>
        <w:rPr>
          <w:sz w:val="24"/>
        </w:rPr>
        <w:t>Sample collection and visual observations are not required under the following</w:t>
      </w:r>
      <w:r>
        <w:rPr>
          <w:spacing w:val="-1"/>
          <w:sz w:val="24"/>
        </w:rPr>
        <w:t> </w:t>
      </w:r>
      <w:r>
        <w:rPr>
          <w:sz w:val="24"/>
        </w:rPr>
        <w:t>conditions:</w:t>
      </w:r>
    </w:p>
    <w:p>
      <w:pPr>
        <w:pStyle w:val="BodyText"/>
        <w:spacing w:before="10"/>
        <w:rPr>
          <w:sz w:val="20"/>
        </w:rPr>
      </w:pPr>
    </w:p>
    <w:p>
      <w:pPr>
        <w:pStyle w:val="ListParagraph"/>
        <w:numPr>
          <w:ilvl w:val="4"/>
          <w:numId w:val="23"/>
        </w:numPr>
        <w:tabs>
          <w:tab w:pos="1574" w:val="left" w:leader="none"/>
          <w:tab w:pos="1575" w:val="left" w:leader="none"/>
        </w:tabs>
        <w:spacing w:line="240" w:lineRule="auto" w:before="0" w:after="0"/>
        <w:ind w:left="1575" w:right="1155" w:hanging="1296"/>
        <w:jc w:val="left"/>
        <w:rPr>
          <w:sz w:val="24"/>
        </w:rPr>
      </w:pPr>
      <w:r>
        <w:rPr>
          <w:sz w:val="24"/>
        </w:rPr>
        <w:t>During dangerous weather conditions such as flooding or electrical storms; or,</w:t>
      </w:r>
    </w:p>
    <w:p>
      <w:pPr>
        <w:pStyle w:val="BodyText"/>
        <w:spacing w:before="10"/>
        <w:rPr>
          <w:sz w:val="20"/>
        </w:rPr>
      </w:pPr>
    </w:p>
    <w:p>
      <w:pPr>
        <w:pStyle w:val="ListParagraph"/>
        <w:numPr>
          <w:ilvl w:val="4"/>
          <w:numId w:val="23"/>
        </w:numPr>
        <w:tabs>
          <w:tab w:pos="1574" w:val="left" w:leader="none"/>
          <w:tab w:pos="1575" w:val="left" w:leader="none"/>
        </w:tabs>
        <w:spacing w:line="240" w:lineRule="auto" w:before="0" w:after="0"/>
        <w:ind w:left="1576" w:right="1837" w:hanging="1296"/>
        <w:jc w:val="left"/>
        <w:rPr>
          <w:sz w:val="24"/>
        </w:rPr>
      </w:pPr>
      <w:r>
        <w:rPr>
          <w:sz w:val="24"/>
        </w:rPr>
        <w:t>Outside of scheduled facility operating hours. The Discharger is not precluded from collecting samples or conducting visual observations outside of scheduled facility operating</w:t>
      </w:r>
      <w:r>
        <w:rPr>
          <w:spacing w:val="-4"/>
          <w:sz w:val="24"/>
        </w:rPr>
        <w:t> </w:t>
      </w:r>
      <w:r>
        <w:rPr>
          <w:sz w:val="24"/>
        </w:rPr>
        <w:t>hours.</w:t>
      </w:r>
    </w:p>
    <w:p>
      <w:pPr>
        <w:pStyle w:val="BodyText"/>
        <w:spacing w:before="10"/>
        <w:rPr>
          <w:sz w:val="20"/>
        </w:rPr>
      </w:pPr>
    </w:p>
    <w:p>
      <w:pPr>
        <w:pStyle w:val="ListParagraph"/>
        <w:numPr>
          <w:ilvl w:val="3"/>
          <w:numId w:val="23"/>
        </w:numPr>
        <w:tabs>
          <w:tab w:pos="1358" w:val="left" w:leader="none"/>
          <w:tab w:pos="1359" w:val="left" w:leader="none"/>
        </w:tabs>
        <w:spacing w:line="240" w:lineRule="auto" w:before="0" w:after="0"/>
        <w:ind w:left="1360" w:right="1319" w:hanging="1080"/>
        <w:jc w:val="left"/>
        <w:rPr>
          <w:sz w:val="24"/>
        </w:rPr>
      </w:pPr>
      <w:r>
        <w:rPr>
          <w:sz w:val="24"/>
        </w:rPr>
        <w:t>In the event that samples are not collected, or visual observations are not conducted in accordance with section 2.2.4 above due to these</w:t>
      </w:r>
      <w:r>
        <w:rPr>
          <w:spacing w:val="-44"/>
          <w:sz w:val="24"/>
        </w:rPr>
        <w:t> </w:t>
      </w:r>
      <w:r>
        <w:rPr>
          <w:sz w:val="24"/>
        </w:rPr>
        <w:t>exceptions, an explanation shall be included in the monitoring</w:t>
      </w:r>
      <w:r>
        <w:rPr>
          <w:spacing w:val="-9"/>
          <w:sz w:val="24"/>
        </w:rPr>
        <w:t> </w:t>
      </w:r>
      <w:r>
        <w:rPr>
          <w:sz w:val="24"/>
        </w:rPr>
        <w:t>report.</w:t>
      </w:r>
    </w:p>
    <w:p>
      <w:pPr>
        <w:spacing w:after="0" w:line="240" w:lineRule="auto"/>
        <w:jc w:val="left"/>
        <w:rPr>
          <w:sz w:val="24"/>
        </w:rPr>
        <w:sectPr>
          <w:pgSz w:w="12240" w:h="15840"/>
          <w:pgMar w:header="728" w:footer="788" w:top="1540" w:bottom="980" w:left="1160" w:right="420"/>
        </w:sectPr>
      </w:pPr>
    </w:p>
    <w:p>
      <w:pPr>
        <w:pStyle w:val="BodyText"/>
        <w:spacing w:before="11"/>
        <w:rPr>
          <w:sz w:val="15"/>
        </w:rPr>
      </w:pPr>
    </w:p>
    <w:p>
      <w:pPr>
        <w:pStyle w:val="Heading1"/>
        <w:numPr>
          <w:ilvl w:val="0"/>
          <w:numId w:val="20"/>
        </w:numPr>
        <w:tabs>
          <w:tab w:pos="640" w:val="left" w:leader="none"/>
        </w:tabs>
        <w:spacing w:line="240" w:lineRule="auto" w:before="92" w:after="0"/>
        <w:ind w:left="639" w:right="0" w:hanging="360"/>
        <w:jc w:val="left"/>
      </w:pPr>
      <w:r>
        <w:rPr/>
        <w:t>REPORTING REQUIREMENTS – COMPLIANCE OPTIONS 1, 2, AND</w:t>
      </w:r>
      <w:r>
        <w:rPr>
          <w:spacing w:val="-7"/>
        </w:rPr>
        <w:t> </w:t>
      </w:r>
      <w:r>
        <w:rPr/>
        <w:t>3.</w:t>
      </w:r>
    </w:p>
    <w:p>
      <w:pPr>
        <w:pStyle w:val="BodyText"/>
        <w:spacing w:before="10"/>
        <w:rPr>
          <w:b/>
          <w:sz w:val="20"/>
        </w:rPr>
      </w:pPr>
    </w:p>
    <w:p>
      <w:pPr>
        <w:pStyle w:val="ListParagraph"/>
        <w:numPr>
          <w:ilvl w:val="1"/>
          <w:numId w:val="20"/>
        </w:numPr>
        <w:tabs>
          <w:tab w:pos="871" w:val="left" w:leader="none"/>
        </w:tabs>
        <w:spacing w:line="240" w:lineRule="auto" w:before="0" w:after="0"/>
        <w:ind w:left="870" w:right="1800" w:hanging="591"/>
        <w:jc w:val="left"/>
        <w:rPr>
          <w:b/>
          <w:sz w:val="24"/>
        </w:rPr>
      </w:pPr>
      <w:r>
        <w:rPr>
          <w:b/>
          <w:sz w:val="24"/>
        </w:rPr>
        <w:t>Compliance Option 1 – Agreement with Local Watershed</w:t>
      </w:r>
      <w:r>
        <w:rPr>
          <w:b/>
          <w:spacing w:val="-27"/>
          <w:sz w:val="24"/>
        </w:rPr>
        <w:t> </w:t>
      </w:r>
      <w:r>
        <w:rPr>
          <w:b/>
          <w:sz w:val="24"/>
        </w:rPr>
        <w:t>Management Group to Fund Regional</w:t>
      </w:r>
      <w:r>
        <w:rPr>
          <w:b/>
          <w:spacing w:val="-1"/>
          <w:sz w:val="24"/>
        </w:rPr>
        <w:t> </w:t>
      </w:r>
      <w:r>
        <w:rPr>
          <w:b/>
          <w:sz w:val="24"/>
        </w:rPr>
        <w:t>Project.</w:t>
      </w:r>
    </w:p>
    <w:p>
      <w:pPr>
        <w:pStyle w:val="BodyText"/>
        <w:spacing w:before="1"/>
        <w:rPr>
          <w:b/>
          <w:sz w:val="21"/>
        </w:rPr>
      </w:pPr>
    </w:p>
    <w:p>
      <w:pPr>
        <w:pStyle w:val="ListParagraph"/>
        <w:numPr>
          <w:ilvl w:val="2"/>
          <w:numId w:val="20"/>
        </w:numPr>
        <w:tabs>
          <w:tab w:pos="1099" w:val="left" w:leader="none"/>
          <w:tab w:pos="1101" w:val="left" w:leader="none"/>
        </w:tabs>
        <w:spacing w:line="237" w:lineRule="auto" w:before="0" w:after="0"/>
        <w:ind w:left="1100" w:right="1260" w:hanging="821"/>
        <w:jc w:val="left"/>
        <w:rPr>
          <w:sz w:val="24"/>
        </w:rPr>
      </w:pPr>
      <w:r>
        <w:rPr>
          <w:sz w:val="24"/>
        </w:rPr>
        <w:t>The Discharger shall submit an annual report detailing their participation in the legally binding agreement with the Watershed Management Group through SMARTS by December 15</w:t>
      </w:r>
      <w:r>
        <w:rPr>
          <w:position w:val="8"/>
          <w:sz w:val="16"/>
        </w:rPr>
        <w:t>th </w:t>
      </w:r>
      <w:r>
        <w:rPr>
          <w:sz w:val="24"/>
        </w:rPr>
        <w:t>of each reporting year. The annual report shall include the</w:t>
      </w:r>
      <w:r>
        <w:rPr>
          <w:spacing w:val="-1"/>
          <w:sz w:val="24"/>
        </w:rPr>
        <w:t> </w:t>
      </w:r>
      <w:r>
        <w:rPr>
          <w:sz w:val="24"/>
        </w:rPr>
        <w:t>following:</w:t>
      </w:r>
    </w:p>
    <w:p>
      <w:pPr>
        <w:pStyle w:val="BodyText"/>
        <w:spacing w:before="2"/>
        <w:rPr>
          <w:sz w:val="21"/>
        </w:rPr>
      </w:pPr>
    </w:p>
    <w:p>
      <w:pPr>
        <w:pStyle w:val="ListParagraph"/>
        <w:numPr>
          <w:ilvl w:val="3"/>
          <w:numId w:val="20"/>
        </w:numPr>
        <w:tabs>
          <w:tab w:pos="1358" w:val="left" w:leader="none"/>
          <w:tab w:pos="1359" w:val="left" w:leader="none"/>
        </w:tabs>
        <w:spacing w:line="240" w:lineRule="auto" w:before="1" w:after="0"/>
        <w:ind w:left="1360" w:right="1653" w:hanging="1080"/>
        <w:jc w:val="left"/>
        <w:rPr>
          <w:sz w:val="24"/>
        </w:rPr>
      </w:pPr>
      <w:r>
        <w:rPr>
          <w:sz w:val="24"/>
        </w:rPr>
        <w:t>The activities funded during the previous reporting year in support of the Watershed Management Program,</w:t>
      </w:r>
      <w:r>
        <w:rPr>
          <w:spacing w:val="-2"/>
          <w:sz w:val="24"/>
        </w:rPr>
        <w:t> </w:t>
      </w:r>
      <w:r>
        <w:rPr>
          <w:sz w:val="24"/>
        </w:rPr>
        <w:t>and</w:t>
      </w:r>
    </w:p>
    <w:p>
      <w:pPr>
        <w:pStyle w:val="BodyText"/>
        <w:spacing w:before="9"/>
        <w:rPr>
          <w:sz w:val="20"/>
        </w:rPr>
      </w:pPr>
    </w:p>
    <w:p>
      <w:pPr>
        <w:pStyle w:val="ListParagraph"/>
        <w:numPr>
          <w:ilvl w:val="3"/>
          <w:numId w:val="20"/>
        </w:numPr>
        <w:tabs>
          <w:tab w:pos="1359" w:val="left" w:leader="none"/>
          <w:tab w:pos="1360" w:val="left" w:leader="none"/>
        </w:tabs>
        <w:spacing w:line="240" w:lineRule="auto" w:before="1" w:after="0"/>
        <w:ind w:left="1360" w:right="1196" w:hanging="1080"/>
        <w:jc w:val="left"/>
        <w:rPr>
          <w:sz w:val="24"/>
        </w:rPr>
      </w:pPr>
      <w:r>
        <w:rPr>
          <w:sz w:val="24"/>
        </w:rPr>
        <w:t>Confirmation that the Discharger has complied with the requirements of their agreement with the Watershed Management Group, including payment of applicable</w:t>
      </w:r>
      <w:r>
        <w:rPr>
          <w:spacing w:val="-1"/>
          <w:sz w:val="24"/>
        </w:rPr>
        <w:t> </w:t>
      </w:r>
      <w:r>
        <w:rPr>
          <w:sz w:val="24"/>
        </w:rPr>
        <w:t>fees.</w:t>
      </w:r>
    </w:p>
    <w:p>
      <w:pPr>
        <w:pStyle w:val="BodyText"/>
        <w:spacing w:before="5"/>
        <w:rPr>
          <w:sz w:val="20"/>
        </w:rPr>
      </w:pPr>
    </w:p>
    <w:p>
      <w:pPr>
        <w:pStyle w:val="ListParagraph"/>
        <w:numPr>
          <w:ilvl w:val="2"/>
          <w:numId w:val="20"/>
        </w:numPr>
        <w:tabs>
          <w:tab w:pos="1100" w:val="left" w:leader="none"/>
          <w:tab w:pos="1101" w:val="left" w:leader="none"/>
        </w:tabs>
        <w:spacing w:line="240" w:lineRule="auto" w:before="0" w:after="0"/>
        <w:ind w:left="1100" w:right="1955" w:hanging="821"/>
        <w:jc w:val="left"/>
        <w:rPr>
          <w:sz w:val="24"/>
        </w:rPr>
      </w:pPr>
      <w:r>
        <w:rPr>
          <w:sz w:val="24"/>
        </w:rPr>
        <w:t>The Discharger shall submit an annual report by December 15</w:t>
      </w:r>
      <w:r>
        <w:rPr>
          <w:position w:val="8"/>
          <w:sz w:val="16"/>
        </w:rPr>
        <w:t>th </w:t>
      </w:r>
      <w:r>
        <w:rPr>
          <w:sz w:val="24"/>
        </w:rPr>
        <w:t>of each reporting year via SMARTS detailing the</w:t>
      </w:r>
      <w:r>
        <w:rPr>
          <w:spacing w:val="-5"/>
          <w:sz w:val="24"/>
        </w:rPr>
        <w:t> </w:t>
      </w:r>
      <w:r>
        <w:rPr>
          <w:sz w:val="24"/>
        </w:rPr>
        <w:t>following:</w:t>
      </w:r>
    </w:p>
    <w:p>
      <w:pPr>
        <w:pStyle w:val="BodyText"/>
        <w:spacing w:before="10"/>
        <w:rPr>
          <w:sz w:val="20"/>
        </w:rPr>
      </w:pPr>
    </w:p>
    <w:p>
      <w:pPr>
        <w:pStyle w:val="ListParagraph"/>
        <w:numPr>
          <w:ilvl w:val="3"/>
          <w:numId w:val="20"/>
        </w:numPr>
        <w:tabs>
          <w:tab w:pos="1359" w:val="left" w:leader="none"/>
          <w:tab w:pos="1360" w:val="left" w:leader="none"/>
        </w:tabs>
        <w:spacing w:line="240" w:lineRule="auto" w:before="0" w:after="0"/>
        <w:ind w:left="1359" w:right="0" w:hanging="1080"/>
        <w:jc w:val="left"/>
        <w:rPr>
          <w:sz w:val="24"/>
        </w:rPr>
      </w:pPr>
      <w:r>
        <w:rPr>
          <w:sz w:val="24"/>
        </w:rPr>
        <w:t>Updated agreement with the Watershed Management Group, if</w:t>
      </w:r>
      <w:r>
        <w:rPr>
          <w:spacing w:val="-7"/>
          <w:sz w:val="24"/>
        </w:rPr>
        <w:t> </w:t>
      </w:r>
      <w:r>
        <w:rPr>
          <w:sz w:val="24"/>
        </w:rPr>
        <w:t>necessary;</w:t>
      </w:r>
    </w:p>
    <w:p>
      <w:pPr>
        <w:pStyle w:val="BodyText"/>
        <w:spacing w:before="10"/>
        <w:rPr>
          <w:sz w:val="20"/>
        </w:rPr>
      </w:pPr>
    </w:p>
    <w:p>
      <w:pPr>
        <w:pStyle w:val="ListParagraph"/>
        <w:numPr>
          <w:ilvl w:val="3"/>
          <w:numId w:val="20"/>
        </w:numPr>
        <w:tabs>
          <w:tab w:pos="1359" w:val="left" w:leader="none"/>
          <w:tab w:pos="1360" w:val="left" w:leader="none"/>
        </w:tabs>
        <w:spacing w:line="240" w:lineRule="auto" w:before="0" w:after="0"/>
        <w:ind w:left="1360" w:right="2042" w:hanging="1080"/>
        <w:jc w:val="left"/>
        <w:rPr>
          <w:sz w:val="24"/>
        </w:rPr>
      </w:pPr>
      <w:r>
        <w:rPr>
          <w:sz w:val="24"/>
        </w:rPr>
        <w:t>Description of visual observation of discharges from the site and</w:t>
      </w:r>
      <w:r>
        <w:rPr>
          <w:spacing w:val="-46"/>
          <w:sz w:val="24"/>
        </w:rPr>
        <w:t> </w:t>
      </w:r>
      <w:r>
        <w:rPr>
          <w:sz w:val="24"/>
        </w:rPr>
        <w:t>any corrective actions taken, as</w:t>
      </w:r>
      <w:r>
        <w:rPr>
          <w:spacing w:val="-2"/>
          <w:sz w:val="24"/>
        </w:rPr>
        <w:t> </w:t>
      </w:r>
      <w:r>
        <w:rPr>
          <w:sz w:val="24"/>
        </w:rPr>
        <w:t>appropriate;</w:t>
      </w:r>
    </w:p>
    <w:p>
      <w:pPr>
        <w:pStyle w:val="BodyText"/>
        <w:spacing w:before="10"/>
        <w:rPr>
          <w:sz w:val="20"/>
        </w:rPr>
      </w:pPr>
    </w:p>
    <w:p>
      <w:pPr>
        <w:pStyle w:val="ListParagraph"/>
        <w:numPr>
          <w:ilvl w:val="3"/>
          <w:numId w:val="20"/>
        </w:numPr>
        <w:tabs>
          <w:tab w:pos="1358" w:val="left" w:leader="none"/>
          <w:tab w:pos="1359" w:val="left" w:leader="none"/>
        </w:tabs>
        <w:spacing w:line="240" w:lineRule="auto" w:before="0" w:after="0"/>
        <w:ind w:left="1360" w:right="1144" w:hanging="1080"/>
        <w:jc w:val="left"/>
        <w:rPr>
          <w:sz w:val="24"/>
        </w:rPr>
      </w:pPr>
      <w:r>
        <w:rPr>
          <w:sz w:val="24"/>
        </w:rPr>
        <w:t>Visual observations and evaluation of the minimum BMPs and any corrective actions taken, as</w:t>
      </w:r>
      <w:r>
        <w:rPr>
          <w:spacing w:val="-1"/>
          <w:sz w:val="24"/>
        </w:rPr>
        <w:t> </w:t>
      </w:r>
      <w:r>
        <w:rPr>
          <w:sz w:val="24"/>
        </w:rPr>
        <w:t>appropriate.</w:t>
      </w:r>
    </w:p>
    <w:p>
      <w:pPr>
        <w:pStyle w:val="BodyText"/>
        <w:spacing w:before="10"/>
        <w:rPr>
          <w:sz w:val="20"/>
        </w:rPr>
      </w:pPr>
    </w:p>
    <w:p>
      <w:pPr>
        <w:pStyle w:val="Heading1"/>
        <w:numPr>
          <w:ilvl w:val="1"/>
          <w:numId w:val="24"/>
        </w:numPr>
        <w:tabs>
          <w:tab w:pos="871" w:val="left" w:leader="none"/>
        </w:tabs>
        <w:spacing w:line="240" w:lineRule="auto" w:before="0" w:after="0"/>
        <w:ind w:left="870" w:right="2095" w:hanging="591"/>
        <w:jc w:val="left"/>
      </w:pPr>
      <w:r>
        <w:rPr/>
        <w:t>Compliance Option 2 – Facility-Specific Design Standard to</w:t>
      </w:r>
      <w:r>
        <w:rPr>
          <w:spacing w:val="-45"/>
        </w:rPr>
        <w:t> </w:t>
      </w:r>
      <w:r>
        <w:rPr/>
        <w:t>Reduce Stormwater</w:t>
      </w:r>
      <w:r>
        <w:rPr>
          <w:spacing w:val="-1"/>
        </w:rPr>
        <w:t> </w:t>
      </w:r>
      <w:r>
        <w:rPr/>
        <w:t>Runoff.</w:t>
      </w:r>
    </w:p>
    <w:p>
      <w:pPr>
        <w:pStyle w:val="BodyText"/>
        <w:spacing w:before="10"/>
        <w:rPr>
          <w:b/>
          <w:sz w:val="23"/>
        </w:rPr>
      </w:pPr>
    </w:p>
    <w:p>
      <w:pPr>
        <w:pStyle w:val="BodyText"/>
        <w:ind w:left="870" w:right="1379"/>
      </w:pPr>
      <w:r>
        <w:rPr/>
        <w:t>The Discharger shall submit an annual report detailing the results of the visual inspection and evaluation of the installed BMPs as required in Attachment I, in addition to visual observations of minimum BMPs, and visual observations of stormwater and non-stormwater discharge and any corrective actions taken, as appropriate, via SMARTS by December 15</w:t>
      </w:r>
      <w:r>
        <w:rPr>
          <w:position w:val="8"/>
          <w:sz w:val="16"/>
        </w:rPr>
        <w:t>th </w:t>
      </w:r>
      <w:r>
        <w:rPr/>
        <w:t>of each reporting year that the inspection was performed.</w:t>
      </w:r>
    </w:p>
    <w:p>
      <w:pPr>
        <w:pStyle w:val="BodyText"/>
        <w:spacing w:before="5"/>
        <w:rPr>
          <w:sz w:val="20"/>
        </w:rPr>
      </w:pPr>
    </w:p>
    <w:p>
      <w:pPr>
        <w:pStyle w:val="Heading1"/>
        <w:numPr>
          <w:ilvl w:val="1"/>
          <w:numId w:val="24"/>
        </w:numPr>
        <w:tabs>
          <w:tab w:pos="871" w:val="left" w:leader="none"/>
        </w:tabs>
        <w:spacing w:line="240" w:lineRule="auto" w:before="1" w:after="0"/>
        <w:ind w:left="870" w:right="1455" w:hanging="591"/>
        <w:jc w:val="left"/>
      </w:pPr>
      <w:r>
        <w:rPr/>
        <w:t>Compliance Option 3 – Direct Demonstration of Compliance with</w:t>
      </w:r>
      <w:r>
        <w:rPr>
          <w:spacing w:val="-42"/>
        </w:rPr>
        <w:t> </w:t>
      </w:r>
      <w:r>
        <w:rPr/>
        <w:t>Effluent Limitations.</w:t>
      </w:r>
    </w:p>
    <w:p>
      <w:pPr>
        <w:pStyle w:val="BodyText"/>
        <w:spacing w:before="9"/>
        <w:rPr>
          <w:b/>
          <w:sz w:val="20"/>
        </w:rPr>
      </w:pPr>
    </w:p>
    <w:p>
      <w:pPr>
        <w:pStyle w:val="ListParagraph"/>
        <w:numPr>
          <w:ilvl w:val="2"/>
          <w:numId w:val="24"/>
        </w:numPr>
        <w:tabs>
          <w:tab w:pos="1100" w:val="left" w:leader="none"/>
          <w:tab w:pos="1101" w:val="left" w:leader="none"/>
        </w:tabs>
        <w:spacing w:line="240" w:lineRule="auto" w:before="1" w:after="0"/>
        <w:ind w:left="1100" w:right="1102" w:hanging="821"/>
        <w:jc w:val="left"/>
        <w:rPr>
          <w:sz w:val="24"/>
        </w:rPr>
      </w:pPr>
      <w:r>
        <w:rPr>
          <w:sz w:val="24"/>
        </w:rPr>
        <w:t>The Discharger shall submit all sampling and analytical results, and visual observation</w:t>
      </w:r>
      <w:r>
        <w:rPr>
          <w:spacing w:val="-5"/>
          <w:sz w:val="24"/>
        </w:rPr>
        <w:t> </w:t>
      </w:r>
      <w:r>
        <w:rPr>
          <w:sz w:val="24"/>
        </w:rPr>
        <w:t>records</w:t>
      </w:r>
      <w:r>
        <w:rPr>
          <w:spacing w:val="-4"/>
          <w:sz w:val="24"/>
        </w:rPr>
        <w:t> </w:t>
      </w:r>
      <w:r>
        <w:rPr>
          <w:sz w:val="24"/>
        </w:rPr>
        <w:t>via</w:t>
      </w:r>
      <w:r>
        <w:rPr>
          <w:spacing w:val="-5"/>
          <w:sz w:val="24"/>
        </w:rPr>
        <w:t> </w:t>
      </w:r>
      <w:r>
        <w:rPr>
          <w:sz w:val="24"/>
        </w:rPr>
        <w:t>SMARTS</w:t>
      </w:r>
      <w:r>
        <w:rPr>
          <w:spacing w:val="-4"/>
          <w:sz w:val="24"/>
        </w:rPr>
        <w:t> </w:t>
      </w:r>
      <w:r>
        <w:rPr>
          <w:sz w:val="24"/>
        </w:rPr>
        <w:t>within</w:t>
      </w:r>
      <w:r>
        <w:rPr>
          <w:spacing w:val="-4"/>
          <w:sz w:val="24"/>
        </w:rPr>
        <w:t> </w:t>
      </w:r>
      <w:r>
        <w:rPr>
          <w:sz w:val="24"/>
        </w:rPr>
        <w:t>30</w:t>
      </w:r>
      <w:r>
        <w:rPr>
          <w:spacing w:val="-4"/>
          <w:sz w:val="24"/>
        </w:rPr>
        <w:t> </w:t>
      </w:r>
      <w:r>
        <w:rPr>
          <w:sz w:val="24"/>
        </w:rPr>
        <w:t>days</w:t>
      </w:r>
      <w:r>
        <w:rPr>
          <w:spacing w:val="-4"/>
          <w:sz w:val="24"/>
        </w:rPr>
        <w:t> </w:t>
      </w:r>
      <w:r>
        <w:rPr>
          <w:sz w:val="24"/>
        </w:rPr>
        <w:t>of</w:t>
      </w:r>
      <w:r>
        <w:rPr>
          <w:spacing w:val="-4"/>
          <w:sz w:val="24"/>
        </w:rPr>
        <w:t> </w:t>
      </w:r>
      <w:r>
        <w:rPr>
          <w:sz w:val="24"/>
        </w:rPr>
        <w:t>obtaining</w:t>
      </w:r>
      <w:r>
        <w:rPr>
          <w:spacing w:val="-5"/>
          <w:sz w:val="24"/>
        </w:rPr>
        <w:t> </w:t>
      </w:r>
      <w:r>
        <w:rPr>
          <w:sz w:val="24"/>
        </w:rPr>
        <w:t>all</w:t>
      </w:r>
      <w:r>
        <w:rPr>
          <w:spacing w:val="-4"/>
          <w:sz w:val="24"/>
        </w:rPr>
        <w:t> </w:t>
      </w:r>
      <w:r>
        <w:rPr>
          <w:sz w:val="24"/>
        </w:rPr>
        <w:t>results</w:t>
      </w:r>
      <w:r>
        <w:rPr>
          <w:spacing w:val="-4"/>
          <w:sz w:val="24"/>
        </w:rPr>
        <w:t> </w:t>
      </w:r>
      <w:r>
        <w:rPr>
          <w:sz w:val="24"/>
        </w:rPr>
        <w:t>for</w:t>
      </w:r>
      <w:r>
        <w:rPr>
          <w:spacing w:val="-5"/>
          <w:sz w:val="24"/>
        </w:rPr>
        <w:t> </w:t>
      </w:r>
      <w:r>
        <w:rPr>
          <w:sz w:val="24"/>
        </w:rPr>
        <w:t>each sampling</w:t>
      </w:r>
      <w:r>
        <w:rPr>
          <w:spacing w:val="-1"/>
          <w:sz w:val="24"/>
        </w:rPr>
        <w:t> </w:t>
      </w:r>
      <w:r>
        <w:rPr>
          <w:sz w:val="24"/>
        </w:rPr>
        <w:t>event.</w:t>
      </w:r>
    </w:p>
    <w:p>
      <w:pPr>
        <w:spacing w:after="0" w:line="240" w:lineRule="auto"/>
        <w:jc w:val="left"/>
        <w:rPr>
          <w:sz w:val="24"/>
        </w:rPr>
        <w:sectPr>
          <w:pgSz w:w="12240" w:h="15840"/>
          <w:pgMar w:header="728" w:footer="788" w:top="1540" w:bottom="980" w:left="1160" w:right="420"/>
        </w:sectPr>
      </w:pPr>
    </w:p>
    <w:p>
      <w:pPr>
        <w:pStyle w:val="BodyText"/>
        <w:spacing w:before="11"/>
        <w:rPr>
          <w:sz w:val="15"/>
        </w:rPr>
      </w:pPr>
    </w:p>
    <w:p>
      <w:pPr>
        <w:pStyle w:val="ListParagraph"/>
        <w:numPr>
          <w:ilvl w:val="2"/>
          <w:numId w:val="24"/>
        </w:numPr>
        <w:tabs>
          <w:tab w:pos="1100" w:val="left" w:leader="none"/>
          <w:tab w:pos="1101" w:val="left" w:leader="none"/>
        </w:tabs>
        <w:spacing w:line="240" w:lineRule="auto" w:before="92" w:after="0"/>
        <w:ind w:left="1100" w:right="1327" w:hanging="821"/>
        <w:jc w:val="left"/>
        <w:rPr>
          <w:sz w:val="24"/>
        </w:rPr>
      </w:pPr>
      <w:r>
        <w:rPr>
          <w:sz w:val="24"/>
        </w:rPr>
        <w:t>The Discharger shall provide the MDL when an analytical result from samples taken is reported by the laboratory as a “non-detect" or less than the MDL. A value of zero (0) shall not be</w:t>
      </w:r>
      <w:r>
        <w:rPr>
          <w:spacing w:val="-3"/>
          <w:sz w:val="24"/>
        </w:rPr>
        <w:t> </w:t>
      </w:r>
      <w:r>
        <w:rPr>
          <w:sz w:val="24"/>
        </w:rPr>
        <w:t>reported.</w:t>
      </w:r>
    </w:p>
    <w:p>
      <w:pPr>
        <w:pStyle w:val="BodyText"/>
        <w:spacing w:before="10"/>
        <w:rPr>
          <w:sz w:val="20"/>
        </w:rPr>
      </w:pPr>
    </w:p>
    <w:p>
      <w:pPr>
        <w:pStyle w:val="ListParagraph"/>
        <w:numPr>
          <w:ilvl w:val="2"/>
          <w:numId w:val="24"/>
        </w:numPr>
        <w:tabs>
          <w:tab w:pos="1099" w:val="left" w:leader="none"/>
          <w:tab w:pos="1100" w:val="left" w:leader="none"/>
        </w:tabs>
        <w:spacing w:line="240" w:lineRule="auto" w:before="0" w:after="0"/>
        <w:ind w:left="1100" w:right="1074" w:hanging="821"/>
        <w:jc w:val="left"/>
        <w:rPr>
          <w:sz w:val="24"/>
        </w:rPr>
      </w:pPr>
      <w:r>
        <w:rPr>
          <w:sz w:val="24"/>
        </w:rPr>
        <w:t>The Discharger shall provide the analytical result from samples taken that is reported by the laboratory as below the minimum level (ML), often referred to</w:t>
      </w:r>
      <w:r>
        <w:rPr>
          <w:spacing w:val="-42"/>
          <w:sz w:val="24"/>
        </w:rPr>
        <w:t> </w:t>
      </w:r>
      <w:r>
        <w:rPr>
          <w:sz w:val="24"/>
        </w:rPr>
        <w:t>as the reporting limit (RL), but above the</w:t>
      </w:r>
      <w:r>
        <w:rPr>
          <w:spacing w:val="-3"/>
          <w:sz w:val="24"/>
        </w:rPr>
        <w:t> </w:t>
      </w:r>
      <w:r>
        <w:rPr>
          <w:sz w:val="24"/>
        </w:rPr>
        <w:t>MDL.</w:t>
      </w:r>
    </w:p>
    <w:p>
      <w:pPr>
        <w:pStyle w:val="BodyText"/>
        <w:spacing w:before="10"/>
        <w:rPr>
          <w:sz w:val="20"/>
        </w:rPr>
      </w:pPr>
    </w:p>
    <w:p>
      <w:pPr>
        <w:pStyle w:val="Heading1"/>
        <w:numPr>
          <w:ilvl w:val="0"/>
          <w:numId w:val="20"/>
        </w:numPr>
        <w:tabs>
          <w:tab w:pos="640" w:val="left" w:leader="none"/>
        </w:tabs>
        <w:spacing w:line="240" w:lineRule="auto" w:before="0" w:after="0"/>
        <w:ind w:left="639" w:right="0" w:hanging="360"/>
        <w:jc w:val="left"/>
      </w:pPr>
      <w:r>
        <w:rPr/>
        <w:t>ADDITIONAL REPORTING</w:t>
      </w:r>
      <w:r>
        <w:rPr>
          <w:spacing w:val="-1"/>
        </w:rPr>
        <w:t> </w:t>
      </w:r>
      <w:r>
        <w:rPr/>
        <w:t>REQUIREMENTS.</w:t>
      </w:r>
    </w:p>
    <w:p>
      <w:pPr>
        <w:pStyle w:val="BodyText"/>
        <w:spacing w:before="10"/>
        <w:rPr>
          <w:b/>
          <w:sz w:val="20"/>
        </w:rPr>
      </w:pPr>
    </w:p>
    <w:p>
      <w:pPr>
        <w:pStyle w:val="ListParagraph"/>
        <w:numPr>
          <w:ilvl w:val="1"/>
          <w:numId w:val="20"/>
        </w:numPr>
        <w:tabs>
          <w:tab w:pos="871" w:val="left" w:leader="none"/>
        </w:tabs>
        <w:spacing w:line="240" w:lineRule="auto" w:before="0" w:after="0"/>
        <w:ind w:left="870" w:right="0" w:hanging="591"/>
        <w:jc w:val="left"/>
        <w:rPr>
          <w:b/>
          <w:sz w:val="24"/>
        </w:rPr>
      </w:pPr>
      <w:r>
        <w:rPr>
          <w:b/>
          <w:sz w:val="24"/>
        </w:rPr>
        <w:t>General Monitoring and Reporting</w:t>
      </w:r>
      <w:r>
        <w:rPr>
          <w:b/>
          <w:spacing w:val="-2"/>
          <w:sz w:val="24"/>
        </w:rPr>
        <w:t> </w:t>
      </w:r>
      <w:r>
        <w:rPr>
          <w:b/>
          <w:sz w:val="24"/>
        </w:rPr>
        <w:t>Requirements.</w:t>
      </w:r>
    </w:p>
    <w:p>
      <w:pPr>
        <w:pStyle w:val="BodyText"/>
        <w:rPr>
          <w:b/>
        </w:rPr>
      </w:pPr>
    </w:p>
    <w:p>
      <w:pPr>
        <w:pStyle w:val="BodyText"/>
        <w:spacing w:before="1"/>
        <w:ind w:left="870" w:right="1246"/>
      </w:pPr>
      <w:r>
        <w:rPr/>
        <w:t>The Discharger shall comply with all Standard Provisions (Attachment D) related to monitoring, reporting, and recordkeeping.</w:t>
      </w:r>
    </w:p>
    <w:p>
      <w:pPr>
        <w:pStyle w:val="BodyText"/>
        <w:spacing w:before="9"/>
        <w:rPr>
          <w:sz w:val="20"/>
        </w:rPr>
      </w:pPr>
    </w:p>
    <w:p>
      <w:pPr>
        <w:pStyle w:val="Heading1"/>
        <w:numPr>
          <w:ilvl w:val="1"/>
          <w:numId w:val="20"/>
        </w:numPr>
        <w:tabs>
          <w:tab w:pos="871" w:val="left" w:leader="none"/>
        </w:tabs>
        <w:spacing w:line="240" w:lineRule="auto" w:before="1" w:after="0"/>
        <w:ind w:left="870" w:right="0" w:hanging="591"/>
        <w:jc w:val="left"/>
      </w:pPr>
      <w:r>
        <w:rPr/>
        <w:t>Stormwater Multiple Application and Report Tracking System</w:t>
      </w:r>
      <w:r>
        <w:rPr>
          <w:spacing w:val="-16"/>
        </w:rPr>
        <w:t> </w:t>
      </w:r>
      <w:r>
        <w:rPr/>
        <w:t>(SMARTS).</w:t>
      </w:r>
    </w:p>
    <w:p>
      <w:pPr>
        <w:pStyle w:val="BodyText"/>
        <w:spacing w:before="9"/>
        <w:rPr>
          <w:b/>
          <w:sz w:val="20"/>
        </w:rPr>
      </w:pPr>
    </w:p>
    <w:p>
      <w:pPr>
        <w:pStyle w:val="ListParagraph"/>
        <w:numPr>
          <w:ilvl w:val="2"/>
          <w:numId w:val="20"/>
        </w:numPr>
        <w:tabs>
          <w:tab w:pos="1100" w:val="left" w:leader="none"/>
          <w:tab w:pos="1101" w:val="left" w:leader="none"/>
        </w:tabs>
        <w:spacing w:line="240" w:lineRule="auto" w:before="1" w:after="0"/>
        <w:ind w:left="1100" w:right="1168" w:hanging="821"/>
        <w:jc w:val="left"/>
        <w:rPr>
          <w:sz w:val="24"/>
        </w:rPr>
      </w:pPr>
      <w:r>
        <w:rPr>
          <w:sz w:val="24"/>
        </w:rPr>
        <w:t>The</w:t>
      </w:r>
      <w:r>
        <w:rPr>
          <w:spacing w:val="-5"/>
          <w:sz w:val="24"/>
        </w:rPr>
        <w:t> </w:t>
      </w:r>
      <w:r>
        <w:rPr>
          <w:sz w:val="24"/>
        </w:rPr>
        <w:t>Discharger</w:t>
      </w:r>
      <w:r>
        <w:rPr>
          <w:spacing w:val="-5"/>
          <w:sz w:val="24"/>
        </w:rPr>
        <w:t> </w:t>
      </w:r>
      <w:r>
        <w:rPr>
          <w:sz w:val="24"/>
        </w:rPr>
        <w:t>shall</w:t>
      </w:r>
      <w:r>
        <w:rPr>
          <w:spacing w:val="-4"/>
          <w:sz w:val="24"/>
        </w:rPr>
        <w:t> </w:t>
      </w:r>
      <w:r>
        <w:rPr>
          <w:sz w:val="24"/>
        </w:rPr>
        <w:t>submit</w:t>
      </w:r>
      <w:r>
        <w:rPr>
          <w:spacing w:val="-5"/>
          <w:sz w:val="24"/>
        </w:rPr>
        <w:t> </w:t>
      </w:r>
      <w:r>
        <w:rPr>
          <w:sz w:val="24"/>
        </w:rPr>
        <w:t>all</w:t>
      </w:r>
      <w:r>
        <w:rPr>
          <w:spacing w:val="-5"/>
          <w:sz w:val="24"/>
        </w:rPr>
        <w:t> </w:t>
      </w:r>
      <w:r>
        <w:rPr>
          <w:sz w:val="24"/>
        </w:rPr>
        <w:t>required</w:t>
      </w:r>
      <w:r>
        <w:rPr>
          <w:spacing w:val="-4"/>
          <w:sz w:val="24"/>
        </w:rPr>
        <w:t> </w:t>
      </w:r>
      <w:r>
        <w:rPr>
          <w:sz w:val="24"/>
        </w:rPr>
        <w:t>reports</w:t>
      </w:r>
      <w:r>
        <w:rPr>
          <w:spacing w:val="-5"/>
          <w:sz w:val="24"/>
        </w:rPr>
        <w:t> </w:t>
      </w:r>
      <w:r>
        <w:rPr>
          <w:sz w:val="24"/>
        </w:rPr>
        <w:t>and</w:t>
      </w:r>
      <w:r>
        <w:rPr>
          <w:spacing w:val="-5"/>
          <w:sz w:val="24"/>
        </w:rPr>
        <w:t> </w:t>
      </w:r>
      <w:r>
        <w:rPr>
          <w:sz w:val="24"/>
        </w:rPr>
        <w:t>analytical</w:t>
      </w:r>
      <w:r>
        <w:rPr>
          <w:spacing w:val="-4"/>
          <w:sz w:val="24"/>
        </w:rPr>
        <w:t> </w:t>
      </w:r>
      <w:r>
        <w:rPr>
          <w:sz w:val="24"/>
        </w:rPr>
        <w:t>results</w:t>
      </w:r>
      <w:r>
        <w:rPr>
          <w:spacing w:val="-5"/>
          <w:sz w:val="24"/>
        </w:rPr>
        <w:t> </w:t>
      </w:r>
      <w:r>
        <w:rPr>
          <w:sz w:val="24"/>
        </w:rPr>
        <w:t>using</w:t>
      </w:r>
      <w:r>
        <w:rPr>
          <w:spacing w:val="-5"/>
          <w:sz w:val="24"/>
        </w:rPr>
        <w:t> </w:t>
      </w:r>
      <w:r>
        <w:rPr>
          <w:sz w:val="24"/>
        </w:rPr>
        <w:t>the State Water Board’s</w:t>
      </w:r>
      <w:r>
        <w:rPr>
          <w:color w:val="0000FF"/>
          <w:sz w:val="24"/>
        </w:rPr>
        <w:t> </w:t>
      </w:r>
      <w:r>
        <w:rPr>
          <w:color w:val="0000FF"/>
          <w:sz w:val="24"/>
          <w:u w:val="single" w:color="0000FF"/>
        </w:rPr>
        <w:t>SMARTS website</w:t>
      </w:r>
      <w:r>
        <w:rPr>
          <w:sz w:val="24"/>
        </w:rPr>
        <w:t> (https://smarts.waterboards.ca.gov/smarts/faces/SwSmartsLogin.xhtml).</w:t>
      </w:r>
    </w:p>
    <w:p>
      <w:pPr>
        <w:pStyle w:val="BodyText"/>
        <w:spacing w:before="10"/>
        <w:rPr>
          <w:sz w:val="20"/>
        </w:rPr>
      </w:pPr>
    </w:p>
    <w:p>
      <w:pPr>
        <w:pStyle w:val="ListParagraph"/>
        <w:numPr>
          <w:ilvl w:val="2"/>
          <w:numId w:val="20"/>
        </w:numPr>
        <w:tabs>
          <w:tab w:pos="1100" w:val="left" w:leader="none"/>
          <w:tab w:pos="1101" w:val="left" w:leader="none"/>
        </w:tabs>
        <w:spacing w:line="240" w:lineRule="auto" w:before="0" w:after="0"/>
        <w:ind w:left="1100" w:right="1622" w:hanging="821"/>
        <w:jc w:val="left"/>
        <w:rPr>
          <w:sz w:val="24"/>
        </w:rPr>
      </w:pPr>
      <w:r>
        <w:rPr>
          <w:sz w:val="24"/>
        </w:rPr>
        <w:t>All monitoring results reported shall be supported by the inclusion of the complete analytical report from the laboratory that conducted the</w:t>
      </w:r>
      <w:r>
        <w:rPr>
          <w:spacing w:val="-48"/>
          <w:sz w:val="24"/>
        </w:rPr>
        <w:t> </w:t>
      </w:r>
      <w:r>
        <w:rPr>
          <w:sz w:val="24"/>
        </w:rPr>
        <w:t>analyses.</w:t>
      </w:r>
    </w:p>
    <w:p>
      <w:pPr>
        <w:pStyle w:val="BodyText"/>
        <w:spacing w:before="10"/>
        <w:rPr>
          <w:sz w:val="20"/>
        </w:rPr>
      </w:pPr>
    </w:p>
    <w:p>
      <w:pPr>
        <w:pStyle w:val="ListParagraph"/>
        <w:numPr>
          <w:ilvl w:val="2"/>
          <w:numId w:val="20"/>
        </w:numPr>
        <w:tabs>
          <w:tab w:pos="1100" w:val="left" w:leader="none"/>
          <w:tab w:pos="1101" w:val="left" w:leader="none"/>
        </w:tabs>
        <w:spacing w:line="240" w:lineRule="auto" w:before="0" w:after="0"/>
        <w:ind w:left="1100" w:right="1537" w:hanging="821"/>
        <w:jc w:val="left"/>
        <w:rPr>
          <w:sz w:val="24"/>
        </w:rPr>
      </w:pPr>
      <w:r>
        <w:rPr>
          <w:sz w:val="24"/>
        </w:rPr>
        <w:t>Reporting for each Compliance Option shall be completed according to the following schedule (e.g., a Visual Observation Report due on December 15, 2024 must cover the monitoring period from July 1, 2023 to June 30,</w:t>
      </w:r>
      <w:r>
        <w:rPr>
          <w:spacing w:val="-44"/>
          <w:sz w:val="24"/>
        </w:rPr>
        <w:t> </w:t>
      </w:r>
      <w:r>
        <w:rPr>
          <w:sz w:val="24"/>
        </w:rPr>
        <w:t>2024):</w:t>
      </w:r>
    </w:p>
    <w:p>
      <w:pPr>
        <w:pStyle w:val="BodyText"/>
        <w:spacing w:before="10"/>
        <w:rPr>
          <w:sz w:val="20"/>
        </w:rPr>
      </w:pPr>
    </w:p>
    <w:p>
      <w:pPr>
        <w:pStyle w:val="Heading1"/>
        <w:ind w:left="279"/>
      </w:pPr>
      <w:r>
        <w:rPr/>
        <w:t>Table E-1. Reporting Schedule</w:t>
      </w:r>
    </w:p>
    <w:p>
      <w:pPr>
        <w:spacing w:after="0"/>
        <w:sectPr>
          <w:pgSz w:w="12240" w:h="15840"/>
          <w:pgMar w:header="728" w:footer="788" w:top="1540" w:bottom="980" w:left="1160" w:right="420"/>
        </w:sectPr>
      </w:pPr>
    </w:p>
    <w:p>
      <w:pPr>
        <w:pStyle w:val="BodyText"/>
        <w:spacing w:before="11"/>
        <w:rPr>
          <w:b/>
          <w:sz w:val="23"/>
        </w:rPr>
      </w:pPr>
    </w:p>
    <w:tbl>
      <w:tblPr>
        <w:tblW w:w="0" w:type="auto"/>
        <w:jc w:val="left"/>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15"/>
        <w:gridCol w:w="2610"/>
        <w:gridCol w:w="1440"/>
        <w:gridCol w:w="1874"/>
        <w:gridCol w:w="1810"/>
      </w:tblGrid>
      <w:tr>
        <w:trPr>
          <w:trHeight w:val="712" w:hRule="atLeast"/>
        </w:trPr>
        <w:tc>
          <w:tcPr>
            <w:tcW w:w="1615" w:type="dxa"/>
            <w:shd w:val="clear" w:color="auto" w:fill="D9D9D9"/>
          </w:tcPr>
          <w:p>
            <w:pPr>
              <w:pStyle w:val="TableParagraph"/>
              <w:spacing w:before="80"/>
              <w:ind w:left="420" w:right="98" w:hanging="294"/>
              <w:jc w:val="left"/>
              <w:rPr>
                <w:b/>
                <w:sz w:val="24"/>
              </w:rPr>
            </w:pPr>
            <w:r>
              <w:rPr>
                <w:b/>
                <w:sz w:val="24"/>
              </w:rPr>
              <w:t>Compliance Option</w:t>
            </w:r>
          </w:p>
        </w:tc>
        <w:tc>
          <w:tcPr>
            <w:tcW w:w="2610" w:type="dxa"/>
            <w:shd w:val="clear" w:color="auto" w:fill="D9D9D9"/>
          </w:tcPr>
          <w:p>
            <w:pPr>
              <w:pStyle w:val="TableParagraph"/>
              <w:spacing w:before="218"/>
              <w:ind w:left="233" w:right="225"/>
              <w:rPr>
                <w:b/>
                <w:sz w:val="24"/>
              </w:rPr>
            </w:pPr>
            <w:r>
              <w:rPr>
                <w:b/>
                <w:sz w:val="24"/>
              </w:rPr>
              <w:t>Item(s) to Submit</w:t>
            </w:r>
          </w:p>
        </w:tc>
        <w:tc>
          <w:tcPr>
            <w:tcW w:w="1440" w:type="dxa"/>
            <w:shd w:val="clear" w:color="auto" w:fill="D9D9D9"/>
          </w:tcPr>
          <w:p>
            <w:pPr>
              <w:pStyle w:val="TableParagraph"/>
              <w:spacing w:before="80"/>
              <w:ind w:left="112" w:right="84" w:firstLine="40"/>
              <w:jc w:val="left"/>
              <w:rPr>
                <w:b/>
                <w:sz w:val="24"/>
              </w:rPr>
            </w:pPr>
            <w:r>
              <w:rPr>
                <w:b/>
                <w:sz w:val="24"/>
              </w:rPr>
              <w:t>Reporting Frequency</w:t>
            </w:r>
          </w:p>
        </w:tc>
        <w:tc>
          <w:tcPr>
            <w:tcW w:w="1874" w:type="dxa"/>
            <w:shd w:val="clear" w:color="auto" w:fill="D9D9D9"/>
          </w:tcPr>
          <w:p>
            <w:pPr>
              <w:pStyle w:val="TableParagraph"/>
              <w:spacing w:before="80"/>
              <w:ind w:left="563" w:right="341" w:hanging="194"/>
              <w:jc w:val="left"/>
              <w:rPr>
                <w:b/>
                <w:sz w:val="24"/>
              </w:rPr>
            </w:pPr>
            <w:r>
              <w:rPr>
                <w:b/>
                <w:sz w:val="24"/>
              </w:rPr>
              <w:t>Reporting Period</w:t>
            </w:r>
          </w:p>
        </w:tc>
        <w:tc>
          <w:tcPr>
            <w:tcW w:w="1810" w:type="dxa"/>
            <w:shd w:val="clear" w:color="auto" w:fill="D9D9D9"/>
          </w:tcPr>
          <w:p>
            <w:pPr>
              <w:pStyle w:val="TableParagraph"/>
              <w:spacing w:before="80"/>
              <w:ind w:left="646" w:right="368" w:hanging="248"/>
              <w:jc w:val="left"/>
              <w:rPr>
                <w:b/>
                <w:sz w:val="24"/>
              </w:rPr>
            </w:pPr>
            <w:r>
              <w:rPr>
                <w:b/>
                <w:sz w:val="24"/>
              </w:rPr>
              <w:t>Item Due Date</w:t>
            </w:r>
          </w:p>
        </w:tc>
      </w:tr>
      <w:tr>
        <w:trPr>
          <w:trHeight w:val="365" w:hRule="atLeast"/>
        </w:trPr>
        <w:tc>
          <w:tcPr>
            <w:tcW w:w="1615" w:type="dxa"/>
            <w:tcBorders>
              <w:bottom w:val="nil"/>
            </w:tcBorders>
          </w:tcPr>
          <w:p>
            <w:pPr>
              <w:pStyle w:val="TableParagraph"/>
              <w:jc w:val="left"/>
              <w:rPr>
                <w:rFonts w:ascii="Times New Roman"/>
                <w:sz w:val="22"/>
              </w:rPr>
            </w:pPr>
          </w:p>
        </w:tc>
        <w:tc>
          <w:tcPr>
            <w:tcW w:w="2610" w:type="dxa"/>
            <w:tcBorders>
              <w:bottom w:val="nil"/>
            </w:tcBorders>
          </w:tcPr>
          <w:p>
            <w:pPr>
              <w:pStyle w:val="TableParagraph"/>
              <w:spacing w:before="41"/>
              <w:ind w:left="232" w:right="225"/>
              <w:rPr>
                <w:sz w:val="24"/>
              </w:rPr>
            </w:pPr>
            <w:r>
              <w:rPr>
                <w:sz w:val="24"/>
                <w:u w:val="single"/>
              </w:rPr>
              <w:t>Annual Report:</w:t>
            </w:r>
          </w:p>
        </w:tc>
        <w:tc>
          <w:tcPr>
            <w:tcW w:w="1440" w:type="dxa"/>
            <w:tcBorders>
              <w:bottom w:val="nil"/>
            </w:tcBorders>
          </w:tcPr>
          <w:p>
            <w:pPr>
              <w:pStyle w:val="TableParagraph"/>
              <w:jc w:val="left"/>
              <w:rPr>
                <w:rFonts w:ascii="Times New Roman"/>
                <w:sz w:val="22"/>
              </w:rPr>
            </w:pPr>
          </w:p>
        </w:tc>
        <w:tc>
          <w:tcPr>
            <w:tcW w:w="1874" w:type="dxa"/>
            <w:tcBorders>
              <w:bottom w:val="nil"/>
            </w:tcBorders>
          </w:tcPr>
          <w:p>
            <w:pPr>
              <w:pStyle w:val="TableParagraph"/>
              <w:jc w:val="left"/>
              <w:rPr>
                <w:rFonts w:ascii="Times New Roman"/>
                <w:sz w:val="22"/>
              </w:rPr>
            </w:pPr>
          </w:p>
        </w:tc>
        <w:tc>
          <w:tcPr>
            <w:tcW w:w="1810" w:type="dxa"/>
            <w:tcBorders>
              <w:bottom w:val="nil"/>
            </w:tcBorders>
          </w:tcPr>
          <w:p>
            <w:pPr>
              <w:pStyle w:val="TableParagraph"/>
              <w:jc w:val="left"/>
              <w:rPr>
                <w:rFonts w:ascii="Times New Roman"/>
                <w:sz w:val="22"/>
              </w:rPr>
            </w:pPr>
          </w:p>
        </w:tc>
      </w:tr>
      <w:tr>
        <w:trPr>
          <w:trHeight w:val="1175" w:hRule="atLeast"/>
        </w:trPr>
        <w:tc>
          <w:tcPr>
            <w:tcW w:w="1615" w:type="dxa"/>
            <w:tcBorders>
              <w:top w:val="nil"/>
              <w:bottom w:val="nil"/>
            </w:tcBorders>
          </w:tcPr>
          <w:p>
            <w:pPr>
              <w:pStyle w:val="TableParagraph"/>
              <w:jc w:val="left"/>
              <w:rPr>
                <w:rFonts w:ascii="Times New Roman"/>
                <w:sz w:val="22"/>
              </w:rPr>
            </w:pPr>
          </w:p>
        </w:tc>
        <w:tc>
          <w:tcPr>
            <w:tcW w:w="2610" w:type="dxa"/>
            <w:tcBorders>
              <w:top w:val="nil"/>
              <w:bottom w:val="nil"/>
            </w:tcBorders>
          </w:tcPr>
          <w:p>
            <w:pPr>
              <w:pStyle w:val="TableParagraph"/>
              <w:spacing w:before="40"/>
              <w:ind w:left="110" w:right="98" w:hanging="3"/>
              <w:rPr>
                <w:sz w:val="24"/>
              </w:rPr>
            </w:pPr>
            <w:r>
              <w:rPr>
                <w:sz w:val="24"/>
              </w:rPr>
              <w:t>Updated agreement with local Watershed Management Group, if necessary</w:t>
            </w:r>
          </w:p>
        </w:tc>
        <w:tc>
          <w:tcPr>
            <w:tcW w:w="1440" w:type="dxa"/>
            <w:tcBorders>
              <w:top w:val="nil"/>
              <w:bottom w:val="nil"/>
            </w:tcBorders>
          </w:tcPr>
          <w:p>
            <w:pPr>
              <w:pStyle w:val="TableParagraph"/>
              <w:jc w:val="left"/>
              <w:rPr>
                <w:rFonts w:ascii="Times New Roman"/>
                <w:sz w:val="22"/>
              </w:rPr>
            </w:pPr>
          </w:p>
        </w:tc>
        <w:tc>
          <w:tcPr>
            <w:tcW w:w="1874" w:type="dxa"/>
            <w:tcBorders>
              <w:top w:val="nil"/>
              <w:bottom w:val="nil"/>
            </w:tcBorders>
          </w:tcPr>
          <w:p>
            <w:pPr>
              <w:pStyle w:val="TableParagraph"/>
              <w:jc w:val="left"/>
              <w:rPr>
                <w:rFonts w:ascii="Times New Roman"/>
                <w:sz w:val="22"/>
              </w:rPr>
            </w:pPr>
          </w:p>
        </w:tc>
        <w:tc>
          <w:tcPr>
            <w:tcW w:w="1810" w:type="dxa"/>
            <w:tcBorders>
              <w:top w:val="nil"/>
              <w:bottom w:val="nil"/>
            </w:tcBorders>
          </w:tcPr>
          <w:p>
            <w:pPr>
              <w:pStyle w:val="TableParagraph"/>
              <w:jc w:val="left"/>
              <w:rPr>
                <w:rFonts w:ascii="Times New Roman"/>
                <w:sz w:val="22"/>
              </w:rPr>
            </w:pPr>
          </w:p>
        </w:tc>
      </w:tr>
      <w:tr>
        <w:trPr>
          <w:trHeight w:val="1058" w:hRule="atLeast"/>
        </w:trPr>
        <w:tc>
          <w:tcPr>
            <w:tcW w:w="1615" w:type="dxa"/>
            <w:tcBorders>
              <w:top w:val="nil"/>
              <w:bottom w:val="nil"/>
            </w:tcBorders>
          </w:tcPr>
          <w:p>
            <w:pPr>
              <w:pStyle w:val="TableParagraph"/>
              <w:spacing w:before="23"/>
              <w:ind w:left="353" w:right="144" w:hanging="180"/>
              <w:jc w:val="left"/>
              <w:rPr>
                <w:sz w:val="24"/>
              </w:rPr>
            </w:pPr>
            <w:r>
              <w:rPr>
                <w:sz w:val="24"/>
              </w:rPr>
              <w:t>Compliance Option 1</w:t>
            </w:r>
          </w:p>
        </w:tc>
        <w:tc>
          <w:tcPr>
            <w:tcW w:w="2610" w:type="dxa"/>
            <w:tcBorders>
              <w:top w:val="nil"/>
              <w:bottom w:val="nil"/>
            </w:tcBorders>
          </w:tcPr>
          <w:p>
            <w:pPr>
              <w:pStyle w:val="TableParagraph"/>
              <w:spacing w:before="2"/>
              <w:jc w:val="left"/>
              <w:rPr>
                <w:b/>
                <w:sz w:val="28"/>
              </w:rPr>
            </w:pPr>
          </w:p>
          <w:p>
            <w:pPr>
              <w:pStyle w:val="TableParagraph"/>
              <w:spacing w:before="1"/>
              <w:ind w:left="331" w:right="208" w:hanging="94"/>
              <w:jc w:val="left"/>
              <w:rPr>
                <w:sz w:val="24"/>
              </w:rPr>
            </w:pPr>
            <w:r>
              <w:rPr>
                <w:sz w:val="24"/>
              </w:rPr>
              <w:t>Visual Observations of Minimum BMPs</w:t>
            </w:r>
          </w:p>
        </w:tc>
        <w:tc>
          <w:tcPr>
            <w:tcW w:w="1440" w:type="dxa"/>
            <w:tcBorders>
              <w:top w:val="nil"/>
              <w:bottom w:val="nil"/>
            </w:tcBorders>
          </w:tcPr>
          <w:p>
            <w:pPr>
              <w:pStyle w:val="TableParagraph"/>
              <w:spacing w:before="163"/>
              <w:ind w:left="197" w:right="188"/>
              <w:rPr>
                <w:sz w:val="24"/>
              </w:rPr>
            </w:pPr>
            <w:r>
              <w:rPr>
                <w:sz w:val="24"/>
              </w:rPr>
              <w:t>Annual</w:t>
            </w:r>
          </w:p>
        </w:tc>
        <w:tc>
          <w:tcPr>
            <w:tcW w:w="1874" w:type="dxa"/>
            <w:tcBorders>
              <w:top w:val="nil"/>
              <w:bottom w:val="nil"/>
            </w:tcBorders>
          </w:tcPr>
          <w:p>
            <w:pPr>
              <w:pStyle w:val="TableParagraph"/>
              <w:spacing w:before="23"/>
              <w:ind w:left="119" w:right="108"/>
              <w:rPr>
                <w:sz w:val="24"/>
              </w:rPr>
            </w:pPr>
            <w:r>
              <w:rPr>
                <w:sz w:val="24"/>
              </w:rPr>
              <w:t>July 1 through</w:t>
            </w:r>
          </w:p>
          <w:p>
            <w:pPr>
              <w:pStyle w:val="TableParagraph"/>
              <w:ind w:left="117" w:right="108"/>
              <w:rPr>
                <w:sz w:val="24"/>
              </w:rPr>
            </w:pPr>
            <w:r>
              <w:rPr>
                <w:sz w:val="24"/>
              </w:rPr>
              <w:t>June 30</w:t>
            </w:r>
          </w:p>
        </w:tc>
        <w:tc>
          <w:tcPr>
            <w:tcW w:w="1810" w:type="dxa"/>
            <w:tcBorders>
              <w:top w:val="nil"/>
              <w:bottom w:val="nil"/>
            </w:tcBorders>
          </w:tcPr>
          <w:p>
            <w:pPr>
              <w:pStyle w:val="TableParagraph"/>
              <w:spacing w:before="158"/>
              <w:ind w:left="96" w:right="87"/>
              <w:rPr>
                <w:sz w:val="16"/>
              </w:rPr>
            </w:pPr>
            <w:r>
              <w:rPr>
                <w:sz w:val="24"/>
              </w:rPr>
              <w:t>December 15</w:t>
            </w:r>
            <w:r>
              <w:rPr>
                <w:position w:val="8"/>
                <w:sz w:val="16"/>
              </w:rPr>
              <w:t>th</w:t>
            </w:r>
          </w:p>
        </w:tc>
      </w:tr>
      <w:tr>
        <w:trPr>
          <w:trHeight w:val="1081" w:hRule="atLeast"/>
        </w:trPr>
        <w:tc>
          <w:tcPr>
            <w:tcW w:w="1615" w:type="dxa"/>
            <w:tcBorders>
              <w:top w:val="nil"/>
            </w:tcBorders>
          </w:tcPr>
          <w:p>
            <w:pPr>
              <w:pStyle w:val="TableParagraph"/>
              <w:jc w:val="left"/>
              <w:rPr>
                <w:rFonts w:ascii="Times New Roman"/>
                <w:sz w:val="22"/>
              </w:rPr>
            </w:pPr>
          </w:p>
        </w:tc>
        <w:tc>
          <w:tcPr>
            <w:tcW w:w="2610" w:type="dxa"/>
            <w:tcBorders>
              <w:top w:val="nil"/>
            </w:tcBorders>
          </w:tcPr>
          <w:p>
            <w:pPr>
              <w:pStyle w:val="TableParagraph"/>
              <w:spacing w:before="173"/>
              <w:ind w:left="571" w:right="208" w:hanging="334"/>
              <w:jc w:val="left"/>
              <w:rPr>
                <w:sz w:val="24"/>
              </w:rPr>
            </w:pPr>
            <w:r>
              <w:rPr>
                <w:sz w:val="24"/>
              </w:rPr>
              <w:t>Visual Observations of Discharges</w:t>
            </w:r>
          </w:p>
        </w:tc>
        <w:tc>
          <w:tcPr>
            <w:tcW w:w="1440" w:type="dxa"/>
            <w:tcBorders>
              <w:top w:val="nil"/>
            </w:tcBorders>
          </w:tcPr>
          <w:p>
            <w:pPr>
              <w:pStyle w:val="TableParagraph"/>
              <w:jc w:val="left"/>
              <w:rPr>
                <w:rFonts w:ascii="Times New Roman"/>
                <w:sz w:val="22"/>
              </w:rPr>
            </w:pPr>
          </w:p>
        </w:tc>
        <w:tc>
          <w:tcPr>
            <w:tcW w:w="1874" w:type="dxa"/>
            <w:tcBorders>
              <w:top w:val="nil"/>
            </w:tcBorders>
          </w:tcPr>
          <w:p>
            <w:pPr>
              <w:pStyle w:val="TableParagraph"/>
              <w:jc w:val="left"/>
              <w:rPr>
                <w:rFonts w:ascii="Times New Roman"/>
                <w:sz w:val="22"/>
              </w:rPr>
            </w:pPr>
          </w:p>
        </w:tc>
        <w:tc>
          <w:tcPr>
            <w:tcW w:w="1810" w:type="dxa"/>
            <w:tcBorders>
              <w:top w:val="nil"/>
            </w:tcBorders>
          </w:tcPr>
          <w:p>
            <w:pPr>
              <w:pStyle w:val="TableParagraph"/>
              <w:jc w:val="left"/>
              <w:rPr>
                <w:rFonts w:ascii="Times New Roman"/>
                <w:sz w:val="22"/>
              </w:rPr>
            </w:pPr>
          </w:p>
        </w:tc>
      </w:tr>
      <w:tr>
        <w:trPr>
          <w:trHeight w:val="340" w:hRule="atLeast"/>
        </w:trPr>
        <w:tc>
          <w:tcPr>
            <w:tcW w:w="1615" w:type="dxa"/>
            <w:tcBorders>
              <w:bottom w:val="nil"/>
            </w:tcBorders>
          </w:tcPr>
          <w:p>
            <w:pPr>
              <w:pStyle w:val="TableParagraph"/>
              <w:jc w:val="left"/>
              <w:rPr>
                <w:rFonts w:ascii="Times New Roman"/>
                <w:sz w:val="22"/>
              </w:rPr>
            </w:pPr>
          </w:p>
        </w:tc>
        <w:tc>
          <w:tcPr>
            <w:tcW w:w="2610" w:type="dxa"/>
            <w:tcBorders>
              <w:bottom w:val="nil"/>
            </w:tcBorders>
          </w:tcPr>
          <w:p>
            <w:pPr>
              <w:pStyle w:val="TableParagraph"/>
              <w:spacing w:before="41"/>
              <w:ind w:left="232" w:right="225"/>
              <w:rPr>
                <w:sz w:val="24"/>
              </w:rPr>
            </w:pPr>
            <w:r>
              <w:rPr>
                <w:sz w:val="24"/>
                <w:u w:val="single"/>
              </w:rPr>
              <w:t>Annual Report:</w:t>
            </w:r>
          </w:p>
        </w:tc>
        <w:tc>
          <w:tcPr>
            <w:tcW w:w="1440" w:type="dxa"/>
            <w:tcBorders>
              <w:bottom w:val="nil"/>
            </w:tcBorders>
          </w:tcPr>
          <w:p>
            <w:pPr>
              <w:pStyle w:val="TableParagraph"/>
              <w:jc w:val="left"/>
              <w:rPr>
                <w:rFonts w:ascii="Times New Roman"/>
                <w:sz w:val="22"/>
              </w:rPr>
            </w:pPr>
          </w:p>
        </w:tc>
        <w:tc>
          <w:tcPr>
            <w:tcW w:w="1874" w:type="dxa"/>
            <w:tcBorders>
              <w:bottom w:val="nil"/>
            </w:tcBorders>
          </w:tcPr>
          <w:p>
            <w:pPr>
              <w:pStyle w:val="TableParagraph"/>
              <w:jc w:val="left"/>
              <w:rPr>
                <w:rFonts w:ascii="Times New Roman"/>
                <w:sz w:val="22"/>
              </w:rPr>
            </w:pPr>
          </w:p>
        </w:tc>
        <w:tc>
          <w:tcPr>
            <w:tcW w:w="1810" w:type="dxa"/>
            <w:tcBorders>
              <w:bottom w:val="nil"/>
            </w:tcBorders>
          </w:tcPr>
          <w:p>
            <w:pPr>
              <w:pStyle w:val="TableParagraph"/>
              <w:jc w:val="left"/>
              <w:rPr>
                <w:rFonts w:ascii="Times New Roman"/>
                <w:sz w:val="22"/>
              </w:rPr>
            </w:pPr>
          </w:p>
        </w:tc>
      </w:tr>
      <w:tr>
        <w:trPr>
          <w:trHeight w:val="670" w:hRule="atLeast"/>
        </w:trPr>
        <w:tc>
          <w:tcPr>
            <w:tcW w:w="1615" w:type="dxa"/>
            <w:tcBorders>
              <w:top w:val="nil"/>
              <w:bottom w:val="nil"/>
            </w:tcBorders>
          </w:tcPr>
          <w:p>
            <w:pPr>
              <w:pStyle w:val="TableParagraph"/>
              <w:jc w:val="left"/>
              <w:rPr>
                <w:rFonts w:ascii="Times New Roman"/>
                <w:sz w:val="22"/>
              </w:rPr>
            </w:pPr>
          </w:p>
        </w:tc>
        <w:tc>
          <w:tcPr>
            <w:tcW w:w="2610" w:type="dxa"/>
            <w:tcBorders>
              <w:top w:val="nil"/>
              <w:bottom w:val="nil"/>
            </w:tcBorders>
          </w:tcPr>
          <w:p>
            <w:pPr>
              <w:pStyle w:val="TableParagraph"/>
              <w:spacing w:before="16"/>
              <w:ind w:left="503" w:right="235" w:hanging="240"/>
              <w:jc w:val="left"/>
              <w:rPr>
                <w:sz w:val="24"/>
              </w:rPr>
            </w:pPr>
            <w:r>
              <w:rPr>
                <w:sz w:val="24"/>
              </w:rPr>
              <w:t>Visual Inspection of Installed BMPs</w:t>
            </w:r>
          </w:p>
        </w:tc>
        <w:tc>
          <w:tcPr>
            <w:tcW w:w="1440" w:type="dxa"/>
            <w:tcBorders>
              <w:top w:val="nil"/>
              <w:bottom w:val="nil"/>
            </w:tcBorders>
          </w:tcPr>
          <w:p>
            <w:pPr>
              <w:pStyle w:val="TableParagraph"/>
              <w:jc w:val="left"/>
              <w:rPr>
                <w:rFonts w:ascii="Times New Roman"/>
                <w:sz w:val="22"/>
              </w:rPr>
            </w:pPr>
          </w:p>
        </w:tc>
        <w:tc>
          <w:tcPr>
            <w:tcW w:w="1874" w:type="dxa"/>
            <w:tcBorders>
              <w:top w:val="nil"/>
              <w:bottom w:val="nil"/>
            </w:tcBorders>
          </w:tcPr>
          <w:p>
            <w:pPr>
              <w:pStyle w:val="TableParagraph"/>
              <w:jc w:val="left"/>
              <w:rPr>
                <w:rFonts w:ascii="Times New Roman"/>
                <w:sz w:val="22"/>
              </w:rPr>
            </w:pPr>
          </w:p>
        </w:tc>
        <w:tc>
          <w:tcPr>
            <w:tcW w:w="1810" w:type="dxa"/>
            <w:tcBorders>
              <w:top w:val="nil"/>
              <w:bottom w:val="nil"/>
            </w:tcBorders>
          </w:tcPr>
          <w:p>
            <w:pPr>
              <w:pStyle w:val="TableParagraph"/>
              <w:jc w:val="left"/>
              <w:rPr>
                <w:rFonts w:ascii="Times New Roman"/>
                <w:sz w:val="22"/>
              </w:rPr>
            </w:pPr>
          </w:p>
        </w:tc>
      </w:tr>
      <w:tr>
        <w:trPr>
          <w:trHeight w:val="986" w:hRule="atLeast"/>
        </w:trPr>
        <w:tc>
          <w:tcPr>
            <w:tcW w:w="1615" w:type="dxa"/>
            <w:tcBorders>
              <w:top w:val="nil"/>
              <w:bottom w:val="nil"/>
            </w:tcBorders>
          </w:tcPr>
          <w:p>
            <w:pPr>
              <w:pStyle w:val="TableParagraph"/>
              <w:spacing w:before="95"/>
              <w:ind w:left="353" w:right="144" w:hanging="180"/>
              <w:jc w:val="left"/>
              <w:rPr>
                <w:sz w:val="24"/>
              </w:rPr>
            </w:pPr>
            <w:r>
              <w:rPr>
                <w:sz w:val="24"/>
              </w:rPr>
              <w:t>Compliance Option 2</w:t>
            </w:r>
          </w:p>
        </w:tc>
        <w:tc>
          <w:tcPr>
            <w:tcW w:w="2610" w:type="dxa"/>
            <w:tcBorders>
              <w:top w:val="nil"/>
              <w:bottom w:val="nil"/>
            </w:tcBorders>
          </w:tcPr>
          <w:p>
            <w:pPr>
              <w:pStyle w:val="TableParagraph"/>
              <w:jc w:val="left"/>
              <w:rPr>
                <w:b/>
                <w:sz w:val="22"/>
              </w:rPr>
            </w:pPr>
          </w:p>
          <w:p>
            <w:pPr>
              <w:pStyle w:val="TableParagraph"/>
              <w:ind w:left="331" w:right="208" w:hanging="94"/>
              <w:jc w:val="left"/>
              <w:rPr>
                <w:sz w:val="24"/>
              </w:rPr>
            </w:pPr>
            <w:r>
              <w:rPr>
                <w:sz w:val="24"/>
              </w:rPr>
              <w:t>Visual Observations of Minimum BMPs</w:t>
            </w:r>
          </w:p>
        </w:tc>
        <w:tc>
          <w:tcPr>
            <w:tcW w:w="1440" w:type="dxa"/>
            <w:tcBorders>
              <w:top w:val="nil"/>
              <w:bottom w:val="nil"/>
            </w:tcBorders>
          </w:tcPr>
          <w:p>
            <w:pPr>
              <w:pStyle w:val="TableParagraph"/>
              <w:spacing w:before="4"/>
              <w:jc w:val="left"/>
              <w:rPr>
                <w:b/>
                <w:sz w:val="20"/>
              </w:rPr>
            </w:pPr>
          </w:p>
          <w:p>
            <w:pPr>
              <w:pStyle w:val="TableParagraph"/>
              <w:ind w:left="197" w:right="188"/>
              <w:rPr>
                <w:sz w:val="24"/>
              </w:rPr>
            </w:pPr>
            <w:r>
              <w:rPr>
                <w:sz w:val="24"/>
              </w:rPr>
              <w:t>Annual</w:t>
            </w:r>
          </w:p>
        </w:tc>
        <w:tc>
          <w:tcPr>
            <w:tcW w:w="1874" w:type="dxa"/>
            <w:tcBorders>
              <w:top w:val="nil"/>
              <w:bottom w:val="nil"/>
            </w:tcBorders>
          </w:tcPr>
          <w:p>
            <w:pPr>
              <w:pStyle w:val="TableParagraph"/>
              <w:spacing w:before="95"/>
              <w:ind w:left="119" w:right="108"/>
              <w:rPr>
                <w:sz w:val="24"/>
              </w:rPr>
            </w:pPr>
            <w:r>
              <w:rPr>
                <w:sz w:val="24"/>
              </w:rPr>
              <w:t>July 1 through</w:t>
            </w:r>
          </w:p>
          <w:p>
            <w:pPr>
              <w:pStyle w:val="TableParagraph"/>
              <w:ind w:left="117" w:right="108"/>
              <w:rPr>
                <w:sz w:val="24"/>
              </w:rPr>
            </w:pPr>
            <w:r>
              <w:rPr>
                <w:sz w:val="24"/>
              </w:rPr>
              <w:t>June 30</w:t>
            </w:r>
          </w:p>
        </w:tc>
        <w:tc>
          <w:tcPr>
            <w:tcW w:w="1810" w:type="dxa"/>
            <w:tcBorders>
              <w:top w:val="nil"/>
              <w:bottom w:val="nil"/>
            </w:tcBorders>
          </w:tcPr>
          <w:p>
            <w:pPr>
              <w:pStyle w:val="TableParagraph"/>
              <w:spacing w:before="229"/>
              <w:ind w:left="96" w:right="87"/>
              <w:rPr>
                <w:sz w:val="16"/>
              </w:rPr>
            </w:pPr>
            <w:r>
              <w:rPr>
                <w:sz w:val="24"/>
              </w:rPr>
              <w:t>December 15</w:t>
            </w:r>
            <w:r>
              <w:rPr>
                <w:position w:val="8"/>
                <w:sz w:val="16"/>
              </w:rPr>
              <w:t>th</w:t>
            </w:r>
          </w:p>
        </w:tc>
      </w:tr>
      <w:tr>
        <w:trPr>
          <w:trHeight w:val="764" w:hRule="atLeast"/>
        </w:trPr>
        <w:tc>
          <w:tcPr>
            <w:tcW w:w="1615" w:type="dxa"/>
            <w:tcBorders>
              <w:top w:val="nil"/>
              <w:bottom w:val="single" w:sz="2" w:space="0" w:color="000000"/>
            </w:tcBorders>
          </w:tcPr>
          <w:p>
            <w:pPr>
              <w:pStyle w:val="TableParagraph"/>
              <w:jc w:val="left"/>
              <w:rPr>
                <w:rFonts w:ascii="Times New Roman"/>
                <w:sz w:val="22"/>
              </w:rPr>
            </w:pPr>
          </w:p>
        </w:tc>
        <w:tc>
          <w:tcPr>
            <w:tcW w:w="2610" w:type="dxa"/>
            <w:tcBorders>
              <w:top w:val="nil"/>
              <w:bottom w:val="single" w:sz="2" w:space="0" w:color="000000"/>
            </w:tcBorders>
          </w:tcPr>
          <w:p>
            <w:pPr>
              <w:pStyle w:val="TableParagraph"/>
              <w:spacing w:before="173"/>
              <w:ind w:left="571" w:right="208" w:hanging="334"/>
              <w:jc w:val="left"/>
              <w:rPr>
                <w:sz w:val="24"/>
              </w:rPr>
            </w:pPr>
            <w:r>
              <w:rPr>
                <w:sz w:val="24"/>
              </w:rPr>
              <w:t>Visual Observations of Discharges</w:t>
            </w:r>
          </w:p>
        </w:tc>
        <w:tc>
          <w:tcPr>
            <w:tcW w:w="1440" w:type="dxa"/>
            <w:tcBorders>
              <w:top w:val="nil"/>
              <w:bottom w:val="single" w:sz="2" w:space="0" w:color="000000"/>
            </w:tcBorders>
          </w:tcPr>
          <w:p>
            <w:pPr>
              <w:pStyle w:val="TableParagraph"/>
              <w:jc w:val="left"/>
              <w:rPr>
                <w:rFonts w:ascii="Times New Roman"/>
                <w:sz w:val="22"/>
              </w:rPr>
            </w:pPr>
          </w:p>
        </w:tc>
        <w:tc>
          <w:tcPr>
            <w:tcW w:w="1874" w:type="dxa"/>
            <w:tcBorders>
              <w:top w:val="nil"/>
              <w:bottom w:val="single" w:sz="2" w:space="0" w:color="000000"/>
            </w:tcBorders>
          </w:tcPr>
          <w:p>
            <w:pPr>
              <w:pStyle w:val="TableParagraph"/>
              <w:jc w:val="left"/>
              <w:rPr>
                <w:rFonts w:ascii="Times New Roman"/>
                <w:sz w:val="22"/>
              </w:rPr>
            </w:pPr>
          </w:p>
        </w:tc>
        <w:tc>
          <w:tcPr>
            <w:tcW w:w="1810" w:type="dxa"/>
            <w:tcBorders>
              <w:top w:val="nil"/>
              <w:bottom w:val="single" w:sz="2" w:space="0" w:color="000000"/>
            </w:tcBorders>
          </w:tcPr>
          <w:p>
            <w:pPr>
              <w:pStyle w:val="TableParagraph"/>
              <w:jc w:val="left"/>
              <w:rPr>
                <w:rFonts w:ascii="Times New Roman"/>
                <w:sz w:val="22"/>
              </w:rPr>
            </w:pPr>
          </w:p>
        </w:tc>
      </w:tr>
      <w:tr>
        <w:trPr>
          <w:trHeight w:val="1540" w:hRule="atLeast"/>
        </w:trPr>
        <w:tc>
          <w:tcPr>
            <w:tcW w:w="1615" w:type="dxa"/>
            <w:tcBorders>
              <w:top w:val="single" w:sz="2" w:space="0" w:color="000000"/>
              <w:bottom w:val="nil"/>
            </w:tcBorders>
          </w:tcPr>
          <w:p>
            <w:pPr>
              <w:pStyle w:val="TableParagraph"/>
              <w:jc w:val="left"/>
              <w:rPr>
                <w:rFonts w:ascii="Times New Roman"/>
                <w:sz w:val="22"/>
              </w:rPr>
            </w:pPr>
          </w:p>
        </w:tc>
        <w:tc>
          <w:tcPr>
            <w:tcW w:w="2610" w:type="dxa"/>
            <w:tcBorders>
              <w:top w:val="single" w:sz="2" w:space="0" w:color="000000"/>
            </w:tcBorders>
          </w:tcPr>
          <w:p>
            <w:pPr>
              <w:pStyle w:val="TableParagraph"/>
              <w:spacing w:before="41"/>
              <w:ind w:left="357" w:right="347" w:firstLine="1"/>
              <w:rPr>
                <w:sz w:val="24"/>
              </w:rPr>
            </w:pPr>
            <w:r>
              <w:rPr>
                <w:sz w:val="24"/>
              </w:rPr>
              <w:t>Sampling and Analytical Results</w:t>
            </w:r>
          </w:p>
          <w:p>
            <w:pPr>
              <w:pStyle w:val="TableParagraph"/>
              <w:jc w:val="left"/>
              <w:rPr>
                <w:b/>
                <w:sz w:val="31"/>
              </w:rPr>
            </w:pPr>
          </w:p>
          <w:p>
            <w:pPr>
              <w:pStyle w:val="TableParagraph"/>
              <w:ind w:left="237" w:right="225"/>
              <w:rPr>
                <w:sz w:val="24"/>
              </w:rPr>
            </w:pPr>
            <w:r>
              <w:rPr>
                <w:sz w:val="24"/>
              </w:rPr>
              <w:t>Visual Observations of Discharges</w:t>
            </w:r>
          </w:p>
        </w:tc>
        <w:tc>
          <w:tcPr>
            <w:tcW w:w="1440" w:type="dxa"/>
            <w:tcBorders>
              <w:top w:val="single" w:sz="2" w:space="0" w:color="000000"/>
            </w:tcBorders>
          </w:tcPr>
          <w:p>
            <w:pPr>
              <w:pStyle w:val="TableParagraph"/>
              <w:jc w:val="left"/>
              <w:rPr>
                <w:b/>
                <w:sz w:val="31"/>
              </w:rPr>
            </w:pPr>
          </w:p>
          <w:p>
            <w:pPr>
              <w:pStyle w:val="TableParagraph"/>
              <w:ind w:left="200" w:right="188"/>
              <w:rPr>
                <w:sz w:val="24"/>
              </w:rPr>
            </w:pPr>
            <w:r>
              <w:rPr>
                <w:sz w:val="24"/>
              </w:rPr>
              <w:t>Twice per reporting period</w:t>
            </w:r>
          </w:p>
        </w:tc>
        <w:tc>
          <w:tcPr>
            <w:tcW w:w="1874" w:type="dxa"/>
            <w:tcBorders>
              <w:top w:val="single" w:sz="2" w:space="0" w:color="000000"/>
            </w:tcBorders>
          </w:tcPr>
          <w:p>
            <w:pPr>
              <w:pStyle w:val="TableParagraph"/>
              <w:spacing w:line="237" w:lineRule="auto" w:before="195"/>
              <w:ind w:left="121" w:right="108"/>
              <w:rPr>
                <w:sz w:val="16"/>
              </w:rPr>
            </w:pPr>
            <w:r>
              <w:rPr>
                <w:sz w:val="24"/>
              </w:rPr>
              <w:t>July 1</w:t>
            </w:r>
            <w:r>
              <w:rPr>
                <w:position w:val="8"/>
                <w:sz w:val="16"/>
              </w:rPr>
              <w:t>st </w:t>
            </w:r>
            <w:r>
              <w:rPr>
                <w:sz w:val="24"/>
              </w:rPr>
              <w:t>through December</w:t>
            </w:r>
            <w:r>
              <w:rPr>
                <w:spacing w:val="-9"/>
                <w:sz w:val="24"/>
              </w:rPr>
              <w:t> </w:t>
            </w:r>
            <w:r>
              <w:rPr>
                <w:sz w:val="24"/>
              </w:rPr>
              <w:t>31</w:t>
            </w:r>
            <w:r>
              <w:rPr>
                <w:position w:val="8"/>
                <w:sz w:val="16"/>
              </w:rPr>
              <w:t>st</w:t>
            </w:r>
          </w:p>
          <w:p>
            <w:pPr>
              <w:pStyle w:val="TableParagraph"/>
              <w:spacing w:before="40"/>
              <w:ind w:left="142" w:right="132" w:firstLine="1"/>
              <w:rPr>
                <w:sz w:val="24"/>
              </w:rPr>
            </w:pPr>
            <w:r>
              <w:rPr>
                <w:sz w:val="24"/>
              </w:rPr>
              <w:t>of the preceding</w:t>
            </w:r>
            <w:r>
              <w:rPr>
                <w:spacing w:val="-11"/>
                <w:sz w:val="24"/>
              </w:rPr>
              <w:t> </w:t>
            </w:r>
            <w:r>
              <w:rPr>
                <w:sz w:val="24"/>
              </w:rPr>
              <w:t>year</w:t>
            </w:r>
          </w:p>
        </w:tc>
        <w:tc>
          <w:tcPr>
            <w:tcW w:w="1810" w:type="dxa"/>
            <w:tcBorders>
              <w:top w:val="single" w:sz="2" w:space="0" w:color="000000"/>
            </w:tcBorders>
          </w:tcPr>
          <w:p>
            <w:pPr>
              <w:pStyle w:val="TableParagraph"/>
              <w:jc w:val="left"/>
              <w:rPr>
                <w:b/>
                <w:sz w:val="31"/>
              </w:rPr>
            </w:pPr>
          </w:p>
          <w:p>
            <w:pPr>
              <w:pStyle w:val="TableParagraph"/>
              <w:ind w:left="97" w:right="83"/>
              <w:rPr>
                <w:sz w:val="24"/>
              </w:rPr>
            </w:pPr>
            <w:r>
              <w:rPr>
                <w:sz w:val="24"/>
              </w:rPr>
              <w:t>Within 30 days of obtaining results</w:t>
            </w:r>
          </w:p>
        </w:tc>
      </w:tr>
      <w:tr>
        <w:trPr>
          <w:trHeight w:val="1539" w:hRule="atLeast"/>
        </w:trPr>
        <w:tc>
          <w:tcPr>
            <w:tcW w:w="1615" w:type="dxa"/>
            <w:tcBorders>
              <w:top w:val="nil"/>
              <w:bottom w:val="nil"/>
            </w:tcBorders>
          </w:tcPr>
          <w:p>
            <w:pPr>
              <w:pStyle w:val="TableParagraph"/>
              <w:jc w:val="left"/>
              <w:rPr>
                <w:b/>
                <w:sz w:val="26"/>
              </w:rPr>
            </w:pPr>
          </w:p>
          <w:p>
            <w:pPr>
              <w:pStyle w:val="TableParagraph"/>
              <w:jc w:val="left"/>
              <w:rPr>
                <w:b/>
                <w:sz w:val="26"/>
              </w:rPr>
            </w:pPr>
          </w:p>
          <w:p>
            <w:pPr>
              <w:pStyle w:val="TableParagraph"/>
              <w:spacing w:before="192"/>
              <w:ind w:left="353" w:right="144" w:hanging="180"/>
              <w:jc w:val="left"/>
              <w:rPr>
                <w:sz w:val="24"/>
              </w:rPr>
            </w:pPr>
            <w:r>
              <w:rPr>
                <w:sz w:val="24"/>
              </w:rPr>
              <w:t>Compliance Option 3</w:t>
            </w:r>
          </w:p>
        </w:tc>
        <w:tc>
          <w:tcPr>
            <w:tcW w:w="2610" w:type="dxa"/>
          </w:tcPr>
          <w:p>
            <w:pPr>
              <w:pStyle w:val="TableParagraph"/>
              <w:spacing w:before="40"/>
              <w:ind w:left="357" w:right="347" w:firstLine="1"/>
              <w:rPr>
                <w:sz w:val="24"/>
              </w:rPr>
            </w:pPr>
            <w:r>
              <w:rPr>
                <w:sz w:val="24"/>
              </w:rPr>
              <w:t>Sampling and Analytical Results</w:t>
            </w:r>
          </w:p>
          <w:p>
            <w:pPr>
              <w:pStyle w:val="TableParagraph"/>
              <w:spacing w:before="11"/>
              <w:jc w:val="left"/>
              <w:rPr>
                <w:b/>
                <w:sz w:val="30"/>
              </w:rPr>
            </w:pPr>
          </w:p>
          <w:p>
            <w:pPr>
              <w:pStyle w:val="TableParagraph"/>
              <w:ind w:left="237" w:right="225"/>
              <w:rPr>
                <w:sz w:val="24"/>
              </w:rPr>
            </w:pPr>
            <w:r>
              <w:rPr>
                <w:sz w:val="24"/>
              </w:rPr>
              <w:t>Visual Observations of Discharges</w:t>
            </w:r>
          </w:p>
        </w:tc>
        <w:tc>
          <w:tcPr>
            <w:tcW w:w="1440" w:type="dxa"/>
          </w:tcPr>
          <w:p>
            <w:pPr>
              <w:pStyle w:val="TableParagraph"/>
              <w:jc w:val="left"/>
              <w:rPr>
                <w:b/>
                <w:sz w:val="31"/>
              </w:rPr>
            </w:pPr>
          </w:p>
          <w:p>
            <w:pPr>
              <w:pStyle w:val="TableParagraph"/>
              <w:ind w:left="200" w:right="188"/>
              <w:rPr>
                <w:sz w:val="24"/>
              </w:rPr>
            </w:pPr>
            <w:r>
              <w:rPr>
                <w:sz w:val="24"/>
              </w:rPr>
              <w:t>Twice per reporting period</w:t>
            </w:r>
          </w:p>
        </w:tc>
        <w:tc>
          <w:tcPr>
            <w:tcW w:w="1874" w:type="dxa"/>
          </w:tcPr>
          <w:p>
            <w:pPr>
              <w:pStyle w:val="TableParagraph"/>
              <w:spacing w:before="6"/>
              <w:jc w:val="left"/>
              <w:rPr>
                <w:b/>
                <w:sz w:val="30"/>
              </w:rPr>
            </w:pPr>
          </w:p>
          <w:p>
            <w:pPr>
              <w:pStyle w:val="TableParagraph"/>
              <w:ind w:left="236" w:right="224" w:firstLine="1"/>
              <w:rPr>
                <w:sz w:val="24"/>
              </w:rPr>
            </w:pPr>
            <w:r>
              <w:rPr>
                <w:sz w:val="24"/>
              </w:rPr>
              <w:t>January 1</w:t>
            </w:r>
            <w:r>
              <w:rPr>
                <w:position w:val="8"/>
                <w:sz w:val="16"/>
              </w:rPr>
              <w:t>st </w:t>
            </w:r>
            <w:r>
              <w:rPr>
                <w:sz w:val="24"/>
              </w:rPr>
              <w:t>through June 30</w:t>
            </w:r>
          </w:p>
        </w:tc>
        <w:tc>
          <w:tcPr>
            <w:tcW w:w="1810" w:type="dxa"/>
          </w:tcPr>
          <w:p>
            <w:pPr>
              <w:pStyle w:val="TableParagraph"/>
              <w:jc w:val="left"/>
              <w:rPr>
                <w:b/>
                <w:sz w:val="31"/>
              </w:rPr>
            </w:pPr>
          </w:p>
          <w:p>
            <w:pPr>
              <w:pStyle w:val="TableParagraph"/>
              <w:ind w:left="97" w:right="83"/>
              <w:rPr>
                <w:sz w:val="24"/>
              </w:rPr>
            </w:pPr>
            <w:r>
              <w:rPr>
                <w:sz w:val="24"/>
              </w:rPr>
              <w:t>Within 30 days of obtaining results</w:t>
            </w:r>
          </w:p>
        </w:tc>
      </w:tr>
      <w:tr>
        <w:trPr>
          <w:trHeight w:val="2133" w:hRule="atLeast"/>
        </w:trPr>
        <w:tc>
          <w:tcPr>
            <w:tcW w:w="1615" w:type="dxa"/>
            <w:tcBorders>
              <w:top w:val="nil"/>
            </w:tcBorders>
          </w:tcPr>
          <w:p>
            <w:pPr>
              <w:pStyle w:val="TableParagraph"/>
              <w:jc w:val="left"/>
              <w:rPr>
                <w:rFonts w:ascii="Times New Roman"/>
                <w:sz w:val="22"/>
              </w:rPr>
            </w:pPr>
          </w:p>
        </w:tc>
        <w:tc>
          <w:tcPr>
            <w:tcW w:w="2610" w:type="dxa"/>
          </w:tcPr>
          <w:p>
            <w:pPr>
              <w:pStyle w:val="TableParagraph"/>
              <w:spacing w:line="256" w:lineRule="auto" w:before="42"/>
              <w:ind w:left="237" w:right="225" w:hanging="3"/>
              <w:rPr>
                <w:sz w:val="24"/>
              </w:rPr>
            </w:pPr>
            <w:r>
              <w:rPr>
                <w:sz w:val="24"/>
                <w:u w:val="single"/>
              </w:rPr>
              <w:t>Annual Report:</w:t>
            </w:r>
            <w:r>
              <w:rPr>
                <w:sz w:val="24"/>
              </w:rPr>
              <w:t> Visual</w:t>
            </w:r>
            <w:r>
              <w:rPr>
                <w:spacing w:val="-15"/>
                <w:sz w:val="24"/>
              </w:rPr>
              <w:t> </w:t>
            </w:r>
            <w:r>
              <w:rPr>
                <w:sz w:val="24"/>
              </w:rPr>
              <w:t>Observations of Minimum</w:t>
            </w:r>
            <w:r>
              <w:rPr>
                <w:spacing w:val="-1"/>
                <w:sz w:val="24"/>
              </w:rPr>
              <w:t> </w:t>
            </w:r>
            <w:r>
              <w:rPr>
                <w:sz w:val="24"/>
              </w:rPr>
              <w:t>BMPs</w:t>
            </w:r>
          </w:p>
          <w:p>
            <w:pPr>
              <w:pStyle w:val="TableParagraph"/>
              <w:spacing w:before="3"/>
              <w:jc w:val="left"/>
              <w:rPr>
                <w:b/>
                <w:sz w:val="29"/>
              </w:rPr>
            </w:pPr>
          </w:p>
          <w:p>
            <w:pPr>
              <w:pStyle w:val="TableParagraph"/>
              <w:ind w:left="198" w:right="185" w:firstLine="39"/>
              <w:jc w:val="both"/>
              <w:rPr>
                <w:sz w:val="24"/>
              </w:rPr>
            </w:pPr>
            <w:r>
              <w:rPr>
                <w:sz w:val="24"/>
              </w:rPr>
              <w:t>Visual Observations of Discharges (storm water and</w:t>
            </w:r>
            <w:r>
              <w:rPr>
                <w:spacing w:val="-6"/>
                <w:sz w:val="24"/>
              </w:rPr>
              <w:t> </w:t>
            </w:r>
            <w:r>
              <w:rPr>
                <w:sz w:val="24"/>
              </w:rPr>
              <w:t>NSWDs)</w:t>
            </w:r>
          </w:p>
        </w:tc>
        <w:tc>
          <w:tcPr>
            <w:tcW w:w="1440" w:type="dxa"/>
          </w:tcPr>
          <w:p>
            <w:pPr>
              <w:pStyle w:val="TableParagraph"/>
              <w:jc w:val="left"/>
              <w:rPr>
                <w:b/>
                <w:sz w:val="26"/>
              </w:rPr>
            </w:pPr>
          </w:p>
          <w:p>
            <w:pPr>
              <w:pStyle w:val="TableParagraph"/>
              <w:jc w:val="left"/>
              <w:rPr>
                <w:b/>
                <w:sz w:val="26"/>
              </w:rPr>
            </w:pPr>
          </w:p>
          <w:p>
            <w:pPr>
              <w:pStyle w:val="TableParagraph"/>
              <w:spacing w:before="10"/>
              <w:jc w:val="left"/>
              <w:rPr>
                <w:b/>
                <w:sz w:val="28"/>
              </w:rPr>
            </w:pPr>
          </w:p>
          <w:p>
            <w:pPr>
              <w:pStyle w:val="TableParagraph"/>
              <w:ind w:left="197" w:right="188"/>
              <w:rPr>
                <w:sz w:val="24"/>
              </w:rPr>
            </w:pPr>
            <w:r>
              <w:rPr>
                <w:sz w:val="24"/>
              </w:rPr>
              <w:t>Annual</w:t>
            </w:r>
          </w:p>
        </w:tc>
        <w:tc>
          <w:tcPr>
            <w:tcW w:w="1874" w:type="dxa"/>
          </w:tcPr>
          <w:p>
            <w:pPr>
              <w:pStyle w:val="TableParagraph"/>
              <w:jc w:val="left"/>
              <w:rPr>
                <w:b/>
                <w:sz w:val="28"/>
              </w:rPr>
            </w:pPr>
          </w:p>
          <w:p>
            <w:pPr>
              <w:pStyle w:val="TableParagraph"/>
              <w:spacing w:before="8"/>
              <w:jc w:val="left"/>
              <w:rPr>
                <w:b/>
                <w:sz w:val="40"/>
              </w:rPr>
            </w:pPr>
          </w:p>
          <w:p>
            <w:pPr>
              <w:pStyle w:val="TableParagraph"/>
              <w:spacing w:line="235" w:lineRule="auto"/>
              <w:ind w:left="442" w:hanging="322"/>
              <w:jc w:val="left"/>
              <w:rPr>
                <w:sz w:val="16"/>
              </w:rPr>
            </w:pPr>
            <w:r>
              <w:rPr>
                <w:sz w:val="24"/>
              </w:rPr>
              <w:t>July 1</w:t>
            </w:r>
            <w:r>
              <w:rPr>
                <w:position w:val="8"/>
                <w:sz w:val="16"/>
              </w:rPr>
              <w:t>st </w:t>
            </w:r>
            <w:r>
              <w:rPr>
                <w:sz w:val="24"/>
              </w:rPr>
              <w:t>through June 30</w:t>
            </w:r>
            <w:r>
              <w:rPr>
                <w:position w:val="8"/>
                <w:sz w:val="16"/>
              </w:rPr>
              <w:t>th</w:t>
            </w:r>
          </w:p>
        </w:tc>
        <w:tc>
          <w:tcPr>
            <w:tcW w:w="1810" w:type="dxa"/>
          </w:tcPr>
          <w:p>
            <w:pPr>
              <w:pStyle w:val="TableParagraph"/>
              <w:jc w:val="left"/>
              <w:rPr>
                <w:b/>
                <w:sz w:val="28"/>
              </w:rPr>
            </w:pPr>
          </w:p>
          <w:p>
            <w:pPr>
              <w:pStyle w:val="TableParagraph"/>
              <w:jc w:val="left"/>
              <w:rPr>
                <w:b/>
                <w:sz w:val="28"/>
              </w:rPr>
            </w:pPr>
          </w:p>
          <w:p>
            <w:pPr>
              <w:pStyle w:val="TableParagraph"/>
              <w:spacing w:before="5"/>
              <w:jc w:val="left"/>
              <w:rPr>
                <w:b/>
                <w:sz w:val="24"/>
              </w:rPr>
            </w:pPr>
          </w:p>
          <w:p>
            <w:pPr>
              <w:pStyle w:val="TableParagraph"/>
              <w:ind w:left="97" w:right="86"/>
              <w:rPr>
                <w:sz w:val="16"/>
              </w:rPr>
            </w:pPr>
            <w:r>
              <w:rPr>
                <w:sz w:val="24"/>
              </w:rPr>
              <w:t>December 15</w:t>
            </w:r>
            <w:r>
              <w:rPr>
                <w:position w:val="8"/>
                <w:sz w:val="16"/>
              </w:rPr>
              <w:t>th</w:t>
            </w:r>
          </w:p>
        </w:tc>
      </w:tr>
    </w:tbl>
    <w:p>
      <w:pPr>
        <w:spacing w:after="0"/>
        <w:rPr>
          <w:sz w:val="16"/>
        </w:rPr>
        <w:sectPr>
          <w:pgSz w:w="12240" w:h="15840"/>
          <w:pgMar w:header="728" w:footer="788" w:top="1540" w:bottom="980" w:left="1160" w:right="420"/>
        </w:sectPr>
      </w:pPr>
    </w:p>
    <w:p>
      <w:pPr>
        <w:pStyle w:val="BodyText"/>
        <w:rPr>
          <w:b/>
          <w:sz w:val="20"/>
        </w:rPr>
      </w:pPr>
    </w:p>
    <w:p>
      <w:pPr>
        <w:pStyle w:val="BodyText"/>
        <w:rPr>
          <w:b/>
          <w:sz w:val="20"/>
        </w:rPr>
      </w:pPr>
    </w:p>
    <w:p>
      <w:pPr>
        <w:pStyle w:val="BodyText"/>
        <w:spacing w:before="9"/>
        <w:rPr>
          <w:b/>
          <w:sz w:val="20"/>
        </w:rPr>
      </w:pPr>
    </w:p>
    <w:p>
      <w:pPr>
        <w:pStyle w:val="ListParagraph"/>
        <w:numPr>
          <w:ilvl w:val="2"/>
          <w:numId w:val="20"/>
        </w:numPr>
        <w:tabs>
          <w:tab w:pos="1100" w:val="left" w:leader="none"/>
          <w:tab w:pos="1101" w:val="left" w:leader="none"/>
        </w:tabs>
        <w:spacing w:line="240" w:lineRule="auto" w:before="93" w:after="0"/>
        <w:ind w:left="1100" w:right="0" w:hanging="821"/>
        <w:jc w:val="left"/>
        <w:rPr>
          <w:sz w:val="24"/>
        </w:rPr>
      </w:pPr>
      <w:r>
        <w:rPr>
          <w:b/>
          <w:sz w:val="24"/>
        </w:rPr>
        <w:t>Reporting Protocols for Sampling</w:t>
      </w:r>
      <w:r>
        <w:rPr>
          <w:b/>
          <w:spacing w:val="-2"/>
          <w:sz w:val="24"/>
        </w:rPr>
        <w:t> </w:t>
      </w:r>
      <w:r>
        <w:rPr>
          <w:b/>
          <w:sz w:val="24"/>
        </w:rPr>
        <w:t>Results</w:t>
      </w:r>
      <w:r>
        <w:rPr>
          <w:sz w:val="24"/>
        </w:rPr>
        <w:t>.</w:t>
      </w:r>
    </w:p>
    <w:p>
      <w:pPr>
        <w:pStyle w:val="BodyText"/>
      </w:pPr>
    </w:p>
    <w:p>
      <w:pPr>
        <w:pStyle w:val="BodyText"/>
        <w:ind w:left="1100" w:right="1055"/>
      </w:pPr>
      <w:r>
        <w:rPr/>
        <w:t>The Discharger shall report with each sample result the applicable reported ML (also known as the RL) and the current MDL, as determined by the procedure in 40 CFR Part 136 or by the approved alternative method where applicable.</w:t>
      </w:r>
    </w:p>
    <w:p>
      <w:pPr>
        <w:pStyle w:val="BodyText"/>
      </w:pPr>
    </w:p>
    <w:p>
      <w:pPr>
        <w:pStyle w:val="BodyText"/>
        <w:ind w:left="1100" w:right="1575"/>
      </w:pPr>
      <w:r>
        <w:rPr/>
        <w:t>The Discharger shall report the results of analytical determinations for the presence of chemical constituents in a sample using the following reporting protocols:</w:t>
      </w:r>
    </w:p>
    <w:p>
      <w:pPr>
        <w:pStyle w:val="BodyText"/>
        <w:spacing w:before="10"/>
        <w:rPr>
          <w:sz w:val="20"/>
        </w:rPr>
      </w:pPr>
    </w:p>
    <w:p>
      <w:pPr>
        <w:pStyle w:val="ListParagraph"/>
        <w:numPr>
          <w:ilvl w:val="3"/>
          <w:numId w:val="20"/>
        </w:numPr>
        <w:tabs>
          <w:tab w:pos="1359" w:val="left" w:leader="none"/>
          <w:tab w:pos="1360" w:val="left" w:leader="none"/>
        </w:tabs>
        <w:spacing w:line="240" w:lineRule="auto" w:before="0" w:after="0"/>
        <w:ind w:left="1359" w:right="1135" w:hanging="1080"/>
        <w:jc w:val="left"/>
        <w:rPr>
          <w:sz w:val="24"/>
        </w:rPr>
      </w:pPr>
      <w:r>
        <w:rPr>
          <w:sz w:val="24"/>
        </w:rPr>
        <w:t>Sample results greater than or equal to the reported ML shall be reported as measured</w:t>
      </w:r>
      <w:r>
        <w:rPr>
          <w:spacing w:val="-5"/>
          <w:sz w:val="24"/>
        </w:rPr>
        <w:t> </w:t>
      </w:r>
      <w:r>
        <w:rPr>
          <w:sz w:val="24"/>
        </w:rPr>
        <w:t>by</w:t>
      </w:r>
      <w:r>
        <w:rPr>
          <w:spacing w:val="-5"/>
          <w:sz w:val="24"/>
        </w:rPr>
        <w:t> </w:t>
      </w:r>
      <w:r>
        <w:rPr>
          <w:sz w:val="24"/>
        </w:rPr>
        <w:t>the</w:t>
      </w:r>
      <w:r>
        <w:rPr>
          <w:spacing w:val="-4"/>
          <w:sz w:val="24"/>
        </w:rPr>
        <w:t> </w:t>
      </w:r>
      <w:r>
        <w:rPr>
          <w:sz w:val="24"/>
        </w:rPr>
        <w:t>laboratory</w:t>
      </w:r>
      <w:r>
        <w:rPr>
          <w:spacing w:val="-6"/>
          <w:sz w:val="24"/>
        </w:rPr>
        <w:t> </w:t>
      </w:r>
      <w:r>
        <w:rPr>
          <w:sz w:val="24"/>
        </w:rPr>
        <w:t>(i.e.,</w:t>
      </w:r>
      <w:r>
        <w:rPr>
          <w:spacing w:val="-5"/>
          <w:sz w:val="24"/>
        </w:rPr>
        <w:t> </w:t>
      </w:r>
      <w:r>
        <w:rPr>
          <w:sz w:val="24"/>
        </w:rPr>
        <w:t>the</w:t>
      </w:r>
      <w:r>
        <w:rPr>
          <w:spacing w:val="-5"/>
          <w:sz w:val="24"/>
        </w:rPr>
        <w:t> </w:t>
      </w:r>
      <w:r>
        <w:rPr>
          <w:sz w:val="24"/>
        </w:rPr>
        <w:t>measured</w:t>
      </w:r>
      <w:r>
        <w:rPr>
          <w:spacing w:val="-5"/>
          <w:sz w:val="24"/>
        </w:rPr>
        <w:t> </w:t>
      </w:r>
      <w:r>
        <w:rPr>
          <w:sz w:val="24"/>
        </w:rPr>
        <w:t>chemical</w:t>
      </w:r>
      <w:r>
        <w:rPr>
          <w:spacing w:val="-5"/>
          <w:sz w:val="24"/>
        </w:rPr>
        <w:t> </w:t>
      </w:r>
      <w:r>
        <w:rPr>
          <w:sz w:val="24"/>
        </w:rPr>
        <w:t>concentration</w:t>
      </w:r>
      <w:r>
        <w:rPr>
          <w:spacing w:val="-4"/>
          <w:sz w:val="24"/>
        </w:rPr>
        <w:t> </w:t>
      </w:r>
      <w:r>
        <w:rPr>
          <w:sz w:val="24"/>
        </w:rPr>
        <w:t>in</w:t>
      </w:r>
      <w:r>
        <w:rPr>
          <w:spacing w:val="-5"/>
          <w:sz w:val="24"/>
        </w:rPr>
        <w:t> </w:t>
      </w:r>
      <w:r>
        <w:rPr>
          <w:sz w:val="24"/>
        </w:rPr>
        <w:t>the sample).</w:t>
      </w:r>
    </w:p>
    <w:p>
      <w:pPr>
        <w:pStyle w:val="BodyText"/>
        <w:spacing w:before="10"/>
        <w:rPr>
          <w:sz w:val="20"/>
        </w:rPr>
      </w:pPr>
    </w:p>
    <w:p>
      <w:pPr>
        <w:pStyle w:val="ListParagraph"/>
        <w:numPr>
          <w:ilvl w:val="3"/>
          <w:numId w:val="20"/>
        </w:numPr>
        <w:tabs>
          <w:tab w:pos="1358" w:val="left" w:leader="none"/>
          <w:tab w:pos="1359" w:val="left" w:leader="none"/>
        </w:tabs>
        <w:spacing w:line="240" w:lineRule="auto" w:before="0" w:after="0"/>
        <w:ind w:left="1359" w:right="1493" w:hanging="1080"/>
        <w:jc w:val="left"/>
        <w:rPr>
          <w:sz w:val="24"/>
        </w:rPr>
      </w:pPr>
      <w:r>
        <w:rPr>
          <w:sz w:val="24"/>
        </w:rPr>
        <w:t>Sample results less than the reported ML, but greater than or equal to the laboratory’s MDL, shall be reported as “Detected, but Not Quantified,” or DNQ. The estimated chemical concentration of the sample shall also be reported.</w:t>
      </w:r>
    </w:p>
    <w:p>
      <w:pPr>
        <w:pStyle w:val="BodyText"/>
      </w:pPr>
    </w:p>
    <w:p>
      <w:pPr>
        <w:pStyle w:val="BodyText"/>
        <w:ind w:left="1359" w:right="1210"/>
      </w:pPr>
      <w:r>
        <w:rPr/>
        <w:t>For the purposes of data collection, the laboratory shall write the estimated chemical concentration next to DNQ as well as the words “Estimated Concentration” (may be shortened to “Est. Conc.”). The laboratory may, if such information is available, include numerical estimates of the data quality for the reported result. Numerical estimates of data quality may be percent accuracy (± a percentage of the reported value), numerical ranges (low to high), or any other means considered appropriate by the laboratory.</w:t>
      </w:r>
    </w:p>
    <w:p>
      <w:pPr>
        <w:pStyle w:val="BodyText"/>
        <w:spacing w:before="9"/>
        <w:rPr>
          <w:sz w:val="20"/>
        </w:rPr>
      </w:pPr>
    </w:p>
    <w:p>
      <w:pPr>
        <w:pStyle w:val="ListParagraph"/>
        <w:numPr>
          <w:ilvl w:val="3"/>
          <w:numId w:val="20"/>
        </w:numPr>
        <w:tabs>
          <w:tab w:pos="1359" w:val="left" w:leader="none"/>
          <w:tab w:pos="1360" w:val="left" w:leader="none"/>
        </w:tabs>
        <w:spacing w:line="240" w:lineRule="auto" w:before="0" w:after="0"/>
        <w:ind w:left="1360" w:right="1708" w:hanging="1080"/>
        <w:jc w:val="left"/>
        <w:rPr>
          <w:sz w:val="24"/>
        </w:rPr>
      </w:pPr>
      <w:r>
        <w:rPr>
          <w:sz w:val="24"/>
        </w:rPr>
        <w:t>Sample results less than the laboratory’s MDL shall be reported as “Not Detected,” or</w:t>
      </w:r>
      <w:r>
        <w:rPr>
          <w:spacing w:val="-2"/>
          <w:sz w:val="24"/>
        </w:rPr>
        <w:t> </w:t>
      </w:r>
      <w:r>
        <w:rPr>
          <w:sz w:val="24"/>
        </w:rPr>
        <w:t>ND.</w:t>
      </w:r>
    </w:p>
    <w:p>
      <w:pPr>
        <w:pStyle w:val="BodyText"/>
        <w:spacing w:before="10"/>
        <w:rPr>
          <w:sz w:val="20"/>
        </w:rPr>
      </w:pPr>
    </w:p>
    <w:p>
      <w:pPr>
        <w:pStyle w:val="ListParagraph"/>
        <w:numPr>
          <w:ilvl w:val="3"/>
          <w:numId w:val="20"/>
        </w:numPr>
        <w:tabs>
          <w:tab w:pos="1360" w:val="left" w:leader="none"/>
        </w:tabs>
        <w:spacing w:line="240" w:lineRule="auto" w:before="0" w:after="0"/>
        <w:ind w:left="1360" w:right="1082" w:hanging="1080"/>
        <w:jc w:val="both"/>
        <w:rPr>
          <w:sz w:val="24"/>
        </w:rPr>
      </w:pPr>
      <w:r>
        <w:rPr>
          <w:sz w:val="24"/>
        </w:rPr>
        <w:t>The Discharger is to instruct laboratories to establish calibration standards so that the ML value (or its equivalent if there is differential treatment of samples relative to calibration standards) is the lowest calibration standard. At no time is the Discharger to use analytical data derived from extrapolation beyond</w:t>
      </w:r>
      <w:r>
        <w:rPr>
          <w:spacing w:val="-45"/>
          <w:sz w:val="24"/>
        </w:rPr>
        <w:t> </w:t>
      </w:r>
      <w:r>
        <w:rPr>
          <w:sz w:val="24"/>
        </w:rPr>
        <w:t>the lowest point of the calibration</w:t>
      </w:r>
      <w:r>
        <w:rPr>
          <w:spacing w:val="-2"/>
          <w:sz w:val="24"/>
        </w:rPr>
        <w:t> </w:t>
      </w:r>
      <w:r>
        <w:rPr>
          <w:sz w:val="24"/>
        </w:rPr>
        <w:t>curve.</w:t>
      </w:r>
    </w:p>
    <w:p>
      <w:pPr>
        <w:pStyle w:val="BodyText"/>
        <w:spacing w:before="10"/>
        <w:rPr>
          <w:sz w:val="20"/>
        </w:rPr>
      </w:pPr>
    </w:p>
    <w:p>
      <w:pPr>
        <w:pStyle w:val="ListParagraph"/>
        <w:numPr>
          <w:ilvl w:val="2"/>
          <w:numId w:val="20"/>
        </w:numPr>
        <w:tabs>
          <w:tab w:pos="1100" w:val="left" w:leader="none"/>
          <w:tab w:pos="1101" w:val="left" w:leader="none"/>
        </w:tabs>
        <w:spacing w:line="240" w:lineRule="auto" w:before="0" w:after="0"/>
        <w:ind w:left="1100" w:right="2408" w:hanging="821"/>
        <w:jc w:val="left"/>
        <w:rPr>
          <w:sz w:val="24"/>
        </w:rPr>
      </w:pPr>
      <w:r>
        <w:rPr>
          <w:sz w:val="24"/>
        </w:rPr>
        <w:t>The Discharger shall submit SMRs in accordance with the following requirements:</w:t>
      </w:r>
    </w:p>
    <w:p>
      <w:pPr>
        <w:pStyle w:val="BodyText"/>
        <w:spacing w:before="10"/>
        <w:rPr>
          <w:sz w:val="20"/>
        </w:rPr>
      </w:pPr>
    </w:p>
    <w:p>
      <w:pPr>
        <w:pStyle w:val="ListParagraph"/>
        <w:numPr>
          <w:ilvl w:val="3"/>
          <w:numId w:val="20"/>
        </w:numPr>
        <w:tabs>
          <w:tab w:pos="1359" w:val="left" w:leader="none"/>
          <w:tab w:pos="1360" w:val="left" w:leader="none"/>
        </w:tabs>
        <w:spacing w:line="240" w:lineRule="auto" w:before="0" w:after="0"/>
        <w:ind w:left="1360" w:right="1750" w:hanging="1080"/>
        <w:jc w:val="left"/>
        <w:rPr>
          <w:sz w:val="24"/>
        </w:rPr>
      </w:pPr>
      <w:r>
        <w:rPr>
          <w:sz w:val="24"/>
        </w:rPr>
        <w:t>The Discharger shall attach a cover letter to the report submission.</w:t>
      </w:r>
      <w:r>
        <w:rPr>
          <w:spacing w:val="-44"/>
          <w:sz w:val="24"/>
        </w:rPr>
        <w:t> </w:t>
      </w:r>
      <w:r>
        <w:rPr>
          <w:sz w:val="24"/>
        </w:rPr>
        <w:t>The information contained in the cover letter shall clearly</w:t>
      </w:r>
      <w:r>
        <w:rPr>
          <w:spacing w:val="-16"/>
          <w:sz w:val="24"/>
        </w:rPr>
        <w:t> </w:t>
      </w:r>
      <w:r>
        <w:rPr>
          <w:sz w:val="24"/>
        </w:rPr>
        <w:t>identify:</w:t>
      </w:r>
    </w:p>
    <w:p>
      <w:pPr>
        <w:pStyle w:val="BodyText"/>
        <w:spacing w:before="10"/>
        <w:rPr>
          <w:sz w:val="20"/>
        </w:rPr>
      </w:pPr>
    </w:p>
    <w:p>
      <w:pPr>
        <w:pStyle w:val="ListParagraph"/>
        <w:numPr>
          <w:ilvl w:val="4"/>
          <w:numId w:val="20"/>
        </w:numPr>
        <w:tabs>
          <w:tab w:pos="1574" w:val="left" w:leader="none"/>
          <w:tab w:pos="1575" w:val="left" w:leader="none"/>
        </w:tabs>
        <w:spacing w:line="240" w:lineRule="auto" w:before="1" w:after="0"/>
        <w:ind w:left="1574" w:right="0" w:hanging="1295"/>
        <w:jc w:val="left"/>
        <w:rPr>
          <w:sz w:val="24"/>
        </w:rPr>
      </w:pPr>
      <w:r>
        <w:rPr>
          <w:sz w:val="24"/>
        </w:rPr>
        <w:t>Facility name and</w:t>
      </w:r>
      <w:r>
        <w:rPr>
          <w:spacing w:val="-1"/>
          <w:sz w:val="24"/>
        </w:rPr>
        <w:t> </w:t>
      </w:r>
      <w:r>
        <w:rPr>
          <w:sz w:val="24"/>
        </w:rPr>
        <w:t>address;</w:t>
      </w:r>
    </w:p>
    <w:p>
      <w:pPr>
        <w:spacing w:after="0" w:line="240" w:lineRule="auto"/>
        <w:jc w:val="left"/>
        <w:rPr>
          <w:sz w:val="24"/>
        </w:rPr>
        <w:sectPr>
          <w:pgSz w:w="12240" w:h="15840"/>
          <w:pgMar w:header="728" w:footer="788" w:top="1540" w:bottom="980" w:left="1160" w:right="420"/>
        </w:sectPr>
      </w:pPr>
    </w:p>
    <w:p>
      <w:pPr>
        <w:pStyle w:val="BodyText"/>
        <w:spacing w:before="11"/>
        <w:rPr>
          <w:sz w:val="15"/>
        </w:rPr>
      </w:pPr>
    </w:p>
    <w:p>
      <w:pPr>
        <w:pStyle w:val="ListParagraph"/>
        <w:numPr>
          <w:ilvl w:val="4"/>
          <w:numId w:val="20"/>
        </w:numPr>
        <w:tabs>
          <w:tab w:pos="1575" w:val="left" w:leader="none"/>
          <w:tab w:pos="1576" w:val="left" w:leader="none"/>
        </w:tabs>
        <w:spacing w:line="240" w:lineRule="auto" w:before="92" w:after="0"/>
        <w:ind w:left="1575" w:right="0" w:hanging="1296"/>
        <w:jc w:val="left"/>
        <w:rPr>
          <w:sz w:val="24"/>
        </w:rPr>
      </w:pPr>
      <w:r>
        <w:rPr>
          <w:sz w:val="24"/>
        </w:rPr>
        <w:t>WDID</w:t>
      </w:r>
      <w:r>
        <w:rPr>
          <w:spacing w:val="-1"/>
          <w:sz w:val="24"/>
        </w:rPr>
        <w:t> </w:t>
      </w:r>
      <w:r>
        <w:rPr>
          <w:sz w:val="24"/>
        </w:rPr>
        <w:t>number;</w:t>
      </w:r>
    </w:p>
    <w:p>
      <w:pPr>
        <w:pStyle w:val="BodyText"/>
        <w:spacing w:before="10"/>
        <w:rPr>
          <w:sz w:val="20"/>
        </w:rPr>
      </w:pPr>
    </w:p>
    <w:p>
      <w:pPr>
        <w:pStyle w:val="ListParagraph"/>
        <w:numPr>
          <w:ilvl w:val="4"/>
          <w:numId w:val="20"/>
        </w:numPr>
        <w:tabs>
          <w:tab w:pos="1574" w:val="left" w:leader="none"/>
          <w:tab w:pos="1575" w:val="left" w:leader="none"/>
        </w:tabs>
        <w:spacing w:line="240" w:lineRule="auto" w:before="0" w:after="0"/>
        <w:ind w:left="1574" w:right="0" w:hanging="1295"/>
        <w:jc w:val="left"/>
        <w:rPr>
          <w:sz w:val="24"/>
        </w:rPr>
      </w:pPr>
      <w:r>
        <w:rPr>
          <w:sz w:val="24"/>
        </w:rPr>
        <w:t>Applicable period of monitoring and reporting;</w:t>
      </w:r>
      <w:r>
        <w:rPr>
          <w:spacing w:val="-3"/>
          <w:sz w:val="24"/>
        </w:rPr>
        <w:t> </w:t>
      </w:r>
      <w:r>
        <w:rPr>
          <w:sz w:val="24"/>
        </w:rPr>
        <w:t>and</w:t>
      </w:r>
    </w:p>
    <w:p>
      <w:pPr>
        <w:pStyle w:val="BodyText"/>
        <w:spacing w:before="10"/>
        <w:rPr>
          <w:sz w:val="20"/>
        </w:rPr>
      </w:pPr>
    </w:p>
    <w:p>
      <w:pPr>
        <w:pStyle w:val="ListParagraph"/>
        <w:numPr>
          <w:ilvl w:val="4"/>
          <w:numId w:val="20"/>
        </w:numPr>
        <w:tabs>
          <w:tab w:pos="1575" w:val="left" w:leader="none"/>
          <w:tab w:pos="1576" w:val="left" w:leader="none"/>
        </w:tabs>
        <w:spacing w:line="240" w:lineRule="auto" w:before="0" w:after="0"/>
        <w:ind w:left="1576" w:right="1383" w:hanging="1296"/>
        <w:jc w:val="left"/>
        <w:rPr>
          <w:sz w:val="24"/>
        </w:rPr>
      </w:pPr>
      <w:r>
        <w:rPr>
          <w:sz w:val="24"/>
        </w:rPr>
        <w:t>Violations of the requirements of the General Permit (identified violations must include a description of the requirement that was violated and a description of the</w:t>
      </w:r>
      <w:r>
        <w:rPr>
          <w:spacing w:val="-1"/>
          <w:sz w:val="24"/>
        </w:rPr>
        <w:t> </w:t>
      </w:r>
      <w:r>
        <w:rPr>
          <w:sz w:val="24"/>
        </w:rPr>
        <w:t>violation).</w:t>
      </w:r>
    </w:p>
    <w:p>
      <w:pPr>
        <w:pStyle w:val="BodyText"/>
        <w:spacing w:before="10"/>
        <w:rPr>
          <w:sz w:val="20"/>
        </w:rPr>
      </w:pPr>
    </w:p>
    <w:p>
      <w:pPr>
        <w:pStyle w:val="Heading1"/>
        <w:numPr>
          <w:ilvl w:val="0"/>
          <w:numId w:val="20"/>
        </w:numPr>
        <w:tabs>
          <w:tab w:pos="640" w:val="left" w:leader="none"/>
        </w:tabs>
        <w:spacing w:line="240" w:lineRule="auto" w:before="0" w:after="0"/>
        <w:ind w:left="639" w:right="0" w:hanging="360"/>
        <w:jc w:val="left"/>
      </w:pPr>
      <w:r>
        <w:rPr/>
        <w:t>CHRONIC WHOLE EFFLUENT TOXICITY TESTING</w:t>
      </w:r>
      <w:r>
        <w:rPr>
          <w:spacing w:val="-6"/>
        </w:rPr>
        <w:t> </w:t>
      </w:r>
      <w:r>
        <w:rPr/>
        <w:t>REQUIREMENTS</w:t>
      </w:r>
    </w:p>
    <w:p>
      <w:pPr>
        <w:pStyle w:val="BodyText"/>
        <w:spacing w:before="10"/>
        <w:rPr>
          <w:b/>
          <w:sz w:val="20"/>
        </w:rPr>
      </w:pPr>
    </w:p>
    <w:p>
      <w:pPr>
        <w:pStyle w:val="ListParagraph"/>
        <w:numPr>
          <w:ilvl w:val="1"/>
          <w:numId w:val="20"/>
        </w:numPr>
        <w:tabs>
          <w:tab w:pos="871" w:val="left" w:leader="none"/>
        </w:tabs>
        <w:spacing w:line="240" w:lineRule="auto" w:before="0" w:after="0"/>
        <w:ind w:left="870" w:right="0" w:hanging="591"/>
        <w:jc w:val="left"/>
        <w:rPr>
          <w:b/>
          <w:sz w:val="24"/>
        </w:rPr>
      </w:pPr>
      <w:r>
        <w:rPr>
          <w:b/>
          <w:sz w:val="24"/>
        </w:rPr>
        <w:t>Discharge In-stream Waste Concentration (IWC) for Chronic</w:t>
      </w:r>
      <w:r>
        <w:rPr>
          <w:b/>
          <w:spacing w:val="-5"/>
          <w:sz w:val="24"/>
        </w:rPr>
        <w:t> </w:t>
      </w:r>
      <w:r>
        <w:rPr>
          <w:b/>
          <w:sz w:val="24"/>
        </w:rPr>
        <w:t>Toxicity</w:t>
      </w:r>
    </w:p>
    <w:p>
      <w:pPr>
        <w:pStyle w:val="BodyText"/>
        <w:rPr>
          <w:b/>
        </w:rPr>
      </w:pPr>
    </w:p>
    <w:p>
      <w:pPr>
        <w:pStyle w:val="BodyText"/>
        <w:spacing w:before="1"/>
        <w:ind w:left="870"/>
      </w:pPr>
      <w:r>
        <w:rPr/>
        <w:t>The chronic toxicity IWC for this discharge is 100 percent effluent.</w:t>
      </w:r>
    </w:p>
    <w:p>
      <w:pPr>
        <w:pStyle w:val="BodyText"/>
        <w:spacing w:before="9"/>
        <w:rPr>
          <w:sz w:val="20"/>
        </w:rPr>
      </w:pPr>
    </w:p>
    <w:p>
      <w:pPr>
        <w:pStyle w:val="Heading1"/>
        <w:numPr>
          <w:ilvl w:val="1"/>
          <w:numId w:val="20"/>
        </w:numPr>
        <w:tabs>
          <w:tab w:pos="871" w:val="left" w:leader="none"/>
        </w:tabs>
        <w:spacing w:line="240" w:lineRule="auto" w:before="1" w:after="0"/>
        <w:ind w:left="870" w:right="0" w:hanging="591"/>
        <w:jc w:val="left"/>
      </w:pPr>
      <w:r>
        <w:rPr/>
        <w:t>Sample Volume and Holding</w:t>
      </w:r>
      <w:r>
        <w:rPr>
          <w:spacing w:val="-1"/>
        </w:rPr>
        <w:t> </w:t>
      </w:r>
      <w:r>
        <w:rPr/>
        <w:t>Time</w:t>
      </w:r>
    </w:p>
    <w:p>
      <w:pPr>
        <w:pStyle w:val="BodyText"/>
        <w:spacing w:before="11"/>
        <w:rPr>
          <w:b/>
          <w:sz w:val="23"/>
        </w:rPr>
      </w:pPr>
    </w:p>
    <w:p>
      <w:pPr>
        <w:pStyle w:val="BodyText"/>
        <w:ind w:left="870" w:right="1138"/>
      </w:pPr>
      <w:r>
        <w:rPr/>
        <w:t>The total sample volume shall be determined by the specific toxicity test method used. Sufficient sample volume shall be collected to perform the required toxicity test. Sufficient sample volume shall also be collected for subsequent TIE studies, if necessary, at each sampling event. All toxicity tests shall be conducted as soon as possible following sample collection. No more than 36 hours shall elapse before the conclusion of sample collection and test initiation.</w:t>
      </w:r>
    </w:p>
    <w:p>
      <w:pPr>
        <w:pStyle w:val="BodyText"/>
        <w:spacing w:before="10"/>
        <w:rPr>
          <w:sz w:val="20"/>
        </w:rPr>
      </w:pPr>
    </w:p>
    <w:p>
      <w:pPr>
        <w:pStyle w:val="Heading1"/>
        <w:numPr>
          <w:ilvl w:val="1"/>
          <w:numId w:val="20"/>
        </w:numPr>
        <w:tabs>
          <w:tab w:pos="871" w:val="left" w:leader="none"/>
        </w:tabs>
        <w:spacing w:line="240" w:lineRule="auto" w:before="0" w:after="0"/>
        <w:ind w:left="870" w:right="0" w:hanging="591"/>
        <w:jc w:val="left"/>
      </w:pPr>
      <w:r>
        <w:rPr/>
        <w:t>Chronic Freshwater Species and Test</w:t>
      </w:r>
      <w:r>
        <w:rPr>
          <w:spacing w:val="-5"/>
        </w:rPr>
        <w:t> </w:t>
      </w:r>
      <w:r>
        <w:rPr/>
        <w:t>Method</w:t>
      </w:r>
    </w:p>
    <w:p>
      <w:pPr>
        <w:pStyle w:val="BodyText"/>
        <w:rPr>
          <w:b/>
        </w:rPr>
      </w:pPr>
    </w:p>
    <w:p>
      <w:pPr>
        <w:pStyle w:val="BodyText"/>
        <w:ind w:left="870" w:right="1183"/>
      </w:pPr>
      <w:r>
        <w:rPr/>
        <w:t>If effluent samples are collected from outfalls discharging to receiving waters with salinity &lt;1 ppt, the Discharger shall conduct the following chronic toxicity tests on effluent samples at the in-stream waste concentration for the discharge in accordance with species and test methods in </w:t>
      </w:r>
      <w:r>
        <w:rPr>
          <w:i/>
        </w:rPr>
        <w:t>Short-term Methods for Estimating </w:t>
      </w:r>
      <w:r>
        <w:rPr>
          <w:i/>
        </w:rPr>
        <w:t>the Chronic Toxicity of Effluents and Receiving Waters to Freshwater Organisms </w:t>
      </w:r>
      <w:r>
        <w:rPr/>
        <w:t>(EPA/821/R-02/013, 2002; Table IA, 40 CFR part 136). In no case shall these species be substituted with another test species unless written authorization from the Executive Officer is received.</w:t>
      </w:r>
    </w:p>
    <w:p>
      <w:pPr>
        <w:pStyle w:val="BodyText"/>
        <w:spacing w:before="9"/>
        <w:rPr>
          <w:sz w:val="20"/>
        </w:rPr>
      </w:pPr>
    </w:p>
    <w:p>
      <w:pPr>
        <w:pStyle w:val="ListParagraph"/>
        <w:numPr>
          <w:ilvl w:val="2"/>
          <w:numId w:val="20"/>
        </w:numPr>
        <w:tabs>
          <w:tab w:pos="1100" w:val="left" w:leader="none"/>
          <w:tab w:pos="1101" w:val="left" w:leader="none"/>
        </w:tabs>
        <w:spacing w:line="240" w:lineRule="auto" w:before="0" w:after="0"/>
        <w:ind w:left="1100" w:right="0" w:hanging="821"/>
        <w:jc w:val="left"/>
        <w:rPr>
          <w:i/>
          <w:sz w:val="24"/>
        </w:rPr>
      </w:pPr>
      <w:r>
        <w:rPr>
          <w:sz w:val="24"/>
        </w:rPr>
        <w:t>A static renewal toxicity test with the fathead minnow, </w:t>
      </w:r>
      <w:r>
        <w:rPr>
          <w:i/>
          <w:sz w:val="24"/>
        </w:rPr>
        <w:t>Pimephales</w:t>
      </w:r>
      <w:r>
        <w:rPr>
          <w:i/>
          <w:spacing w:val="-17"/>
          <w:sz w:val="24"/>
        </w:rPr>
        <w:t> </w:t>
      </w:r>
      <w:r>
        <w:rPr>
          <w:i/>
          <w:sz w:val="24"/>
        </w:rPr>
        <w:t>promelas</w:t>
      </w:r>
    </w:p>
    <w:p>
      <w:pPr>
        <w:pStyle w:val="BodyText"/>
        <w:ind w:left="1100"/>
      </w:pPr>
      <w:r>
        <w:rPr/>
        <w:t>(Larval Survival and Growth Test Method 1000.0).</w:t>
      </w:r>
    </w:p>
    <w:p>
      <w:pPr>
        <w:pStyle w:val="BodyText"/>
        <w:spacing w:before="10"/>
        <w:rPr>
          <w:sz w:val="20"/>
        </w:rPr>
      </w:pPr>
    </w:p>
    <w:p>
      <w:pPr>
        <w:pStyle w:val="ListParagraph"/>
        <w:numPr>
          <w:ilvl w:val="2"/>
          <w:numId w:val="20"/>
        </w:numPr>
        <w:tabs>
          <w:tab w:pos="1100" w:val="left" w:leader="none"/>
          <w:tab w:pos="1101" w:val="left" w:leader="none"/>
        </w:tabs>
        <w:spacing w:line="240" w:lineRule="auto" w:before="0" w:after="0"/>
        <w:ind w:left="1100" w:right="1113" w:hanging="821"/>
        <w:jc w:val="left"/>
        <w:rPr>
          <w:sz w:val="24"/>
        </w:rPr>
      </w:pPr>
      <w:r>
        <w:rPr>
          <w:sz w:val="24"/>
        </w:rPr>
        <w:t>A static renewal toxicity test with the daphnid, </w:t>
      </w:r>
      <w:r>
        <w:rPr>
          <w:i/>
          <w:sz w:val="24"/>
        </w:rPr>
        <w:t>Ceriodaphnia dubia </w:t>
      </w:r>
      <w:r>
        <w:rPr>
          <w:sz w:val="24"/>
        </w:rPr>
        <w:t>(Survival and Reproduction Test Method</w:t>
      </w:r>
      <w:r>
        <w:rPr>
          <w:spacing w:val="-2"/>
          <w:sz w:val="24"/>
        </w:rPr>
        <w:t> </w:t>
      </w:r>
      <w:r>
        <w:rPr>
          <w:sz w:val="24"/>
        </w:rPr>
        <w:t>1002.01).</w:t>
      </w:r>
    </w:p>
    <w:p>
      <w:pPr>
        <w:pStyle w:val="BodyText"/>
        <w:spacing w:before="10"/>
        <w:rPr>
          <w:sz w:val="20"/>
        </w:rPr>
      </w:pPr>
    </w:p>
    <w:p>
      <w:pPr>
        <w:pStyle w:val="ListParagraph"/>
        <w:numPr>
          <w:ilvl w:val="2"/>
          <w:numId w:val="20"/>
        </w:numPr>
        <w:tabs>
          <w:tab w:pos="1100" w:val="left" w:leader="none"/>
          <w:tab w:pos="1101" w:val="left" w:leader="none"/>
        </w:tabs>
        <w:spacing w:line="240" w:lineRule="auto" w:before="0" w:after="0"/>
        <w:ind w:left="1100" w:right="1766" w:hanging="821"/>
        <w:jc w:val="left"/>
        <w:rPr>
          <w:sz w:val="24"/>
        </w:rPr>
      </w:pPr>
      <w:r>
        <w:rPr>
          <w:sz w:val="24"/>
        </w:rPr>
        <w:t>A static toxicity test with the green alga, </w:t>
      </w:r>
      <w:r>
        <w:rPr>
          <w:i/>
          <w:sz w:val="24"/>
        </w:rPr>
        <w:t>Selenastrum capricornutum </w:t>
      </w:r>
      <w:r>
        <w:rPr>
          <w:sz w:val="24"/>
        </w:rPr>
        <w:t>(also named </w:t>
      </w:r>
      <w:r>
        <w:rPr>
          <w:i/>
          <w:sz w:val="24"/>
        </w:rPr>
        <w:t>Raphidocelis subcapitata</w:t>
      </w:r>
      <w:r>
        <w:rPr>
          <w:sz w:val="24"/>
        </w:rPr>
        <w:t>) (Growth Test Method</w:t>
      </w:r>
      <w:r>
        <w:rPr>
          <w:spacing w:val="-11"/>
          <w:sz w:val="24"/>
        </w:rPr>
        <w:t> </w:t>
      </w:r>
      <w:r>
        <w:rPr>
          <w:sz w:val="24"/>
        </w:rPr>
        <w:t>1003.0).</w:t>
      </w:r>
    </w:p>
    <w:p>
      <w:pPr>
        <w:spacing w:after="0" w:line="240" w:lineRule="auto"/>
        <w:jc w:val="left"/>
        <w:rPr>
          <w:sz w:val="24"/>
        </w:rPr>
        <w:sectPr>
          <w:pgSz w:w="12240" w:h="15840"/>
          <w:pgMar w:header="728" w:footer="788" w:top="1540" w:bottom="980" w:left="1160" w:right="420"/>
        </w:sectPr>
      </w:pPr>
    </w:p>
    <w:p>
      <w:pPr>
        <w:pStyle w:val="BodyText"/>
        <w:spacing w:before="11"/>
        <w:rPr>
          <w:sz w:val="15"/>
        </w:rPr>
      </w:pPr>
    </w:p>
    <w:p>
      <w:pPr>
        <w:pStyle w:val="Heading1"/>
        <w:numPr>
          <w:ilvl w:val="1"/>
          <w:numId w:val="20"/>
        </w:numPr>
        <w:tabs>
          <w:tab w:pos="871" w:val="left" w:leader="none"/>
        </w:tabs>
        <w:spacing w:line="240" w:lineRule="auto" w:before="92" w:after="0"/>
        <w:ind w:left="870" w:right="0" w:hanging="591"/>
        <w:jc w:val="left"/>
      </w:pPr>
      <w:r>
        <w:rPr/>
        <w:t>Species Sensitivity</w:t>
      </w:r>
      <w:r>
        <w:rPr>
          <w:spacing w:val="-3"/>
        </w:rPr>
        <w:t> </w:t>
      </w:r>
      <w:r>
        <w:rPr/>
        <w:t>Screening</w:t>
      </w:r>
    </w:p>
    <w:p>
      <w:pPr>
        <w:pStyle w:val="BodyText"/>
        <w:rPr>
          <w:b/>
        </w:rPr>
      </w:pPr>
    </w:p>
    <w:p>
      <w:pPr>
        <w:pStyle w:val="BodyText"/>
        <w:ind w:left="870" w:right="1058"/>
      </w:pPr>
      <w:r>
        <w:rPr/>
        <w:t>Species sensitivity screening shall be conducted during this permit’s first required sample collection. The Discharger shall collect a single effluent sample to initiate and concurrently conduct three toxicity tests using the fish, an invertebrate, and the alga species previously referenced. If the result of all three species is “Pass”, then the species that exhibits the highest “Percent Effect” at the discharge IWC during species sensitivity screening shall be used for routine monitoring during the permit cycle. If only one species fails, then that species shall be used for routine monitoring during the permit cycle. If two or more species result in “Fail,” then the species that exhibits the highest “Percent Effect” at the discharge IWC during the suite of species sensitivity screening shall be used for routine monitoring during the permit cycle, until a rescreening is required.</w:t>
      </w:r>
    </w:p>
    <w:p>
      <w:pPr>
        <w:pStyle w:val="BodyText"/>
      </w:pPr>
    </w:p>
    <w:p>
      <w:pPr>
        <w:pStyle w:val="BodyText"/>
        <w:spacing w:before="1"/>
        <w:ind w:left="870" w:right="1085"/>
      </w:pPr>
      <w:r>
        <w:rPr/>
        <w:t>Species sensitivity screening is required every three years if there has been a discharge. The Discharger shall rescreen the three species listed above and continue to monitor with the most sensitive species. If the first suite of rescreening tests demonstrates that the same species is the most sensitive, then the rescreening does not need to include more than one suite of tests. If a different species is the most sensitive or if there is ambiguity, then the Discharger may proceed with suites of screening tests for a minimum of three, but not to exceed five suites.</w:t>
      </w:r>
    </w:p>
    <w:p>
      <w:pPr>
        <w:pStyle w:val="BodyText"/>
        <w:spacing w:before="10"/>
        <w:rPr>
          <w:sz w:val="23"/>
        </w:rPr>
      </w:pPr>
    </w:p>
    <w:p>
      <w:pPr>
        <w:pStyle w:val="BodyText"/>
        <w:ind w:left="870" w:right="1089"/>
        <w:jc w:val="both"/>
      </w:pPr>
      <w:r>
        <w:rPr/>
        <w:t>During the calendar month, toxicity tests used to determine the most sensitive test species shall be reported as effluent compliance monitoring results for the chronic toxicity MDEL and MMEL.</w:t>
      </w:r>
    </w:p>
    <w:p>
      <w:pPr>
        <w:pStyle w:val="BodyText"/>
        <w:spacing w:before="10"/>
        <w:rPr>
          <w:sz w:val="20"/>
        </w:rPr>
      </w:pPr>
    </w:p>
    <w:p>
      <w:pPr>
        <w:pStyle w:val="Heading1"/>
        <w:numPr>
          <w:ilvl w:val="1"/>
          <w:numId w:val="20"/>
        </w:numPr>
        <w:tabs>
          <w:tab w:pos="871" w:val="left" w:leader="none"/>
        </w:tabs>
        <w:spacing w:line="240" w:lineRule="auto" w:before="0" w:after="0"/>
        <w:ind w:left="870" w:right="0" w:hanging="592"/>
        <w:jc w:val="left"/>
      </w:pPr>
      <w:r>
        <w:rPr/>
        <w:t>Quality Assurance and Additional</w:t>
      </w:r>
      <w:r>
        <w:rPr>
          <w:spacing w:val="-3"/>
        </w:rPr>
        <w:t> </w:t>
      </w:r>
      <w:r>
        <w:rPr/>
        <w:t>Requirements</w:t>
      </w:r>
    </w:p>
    <w:p>
      <w:pPr>
        <w:pStyle w:val="BodyText"/>
        <w:spacing w:before="10"/>
        <w:rPr>
          <w:b/>
          <w:sz w:val="20"/>
        </w:rPr>
      </w:pPr>
    </w:p>
    <w:p>
      <w:pPr>
        <w:pStyle w:val="ListParagraph"/>
        <w:numPr>
          <w:ilvl w:val="2"/>
          <w:numId w:val="20"/>
        </w:numPr>
        <w:tabs>
          <w:tab w:pos="1100" w:val="left" w:leader="none"/>
          <w:tab w:pos="1101" w:val="left" w:leader="none"/>
        </w:tabs>
        <w:spacing w:line="240" w:lineRule="auto" w:before="0" w:after="0"/>
        <w:ind w:left="1100" w:right="1580" w:hanging="821"/>
        <w:jc w:val="left"/>
        <w:rPr>
          <w:sz w:val="24"/>
        </w:rPr>
      </w:pPr>
      <w:r>
        <w:rPr>
          <w:sz w:val="24"/>
        </w:rPr>
        <w:t>Quality assurance measures, instructions, and other recommendations and requirements are found in the test methods manual previously referenced. Additional requirements are specified</w:t>
      </w:r>
      <w:r>
        <w:rPr>
          <w:spacing w:val="-3"/>
          <w:sz w:val="24"/>
        </w:rPr>
        <w:t> </w:t>
      </w:r>
      <w:r>
        <w:rPr>
          <w:sz w:val="24"/>
        </w:rPr>
        <w:t>below.</w:t>
      </w:r>
    </w:p>
    <w:p>
      <w:pPr>
        <w:pStyle w:val="BodyText"/>
        <w:spacing w:before="10"/>
        <w:rPr>
          <w:sz w:val="20"/>
        </w:rPr>
      </w:pPr>
    </w:p>
    <w:p>
      <w:pPr>
        <w:pStyle w:val="ListParagraph"/>
        <w:numPr>
          <w:ilvl w:val="3"/>
          <w:numId w:val="20"/>
        </w:numPr>
        <w:tabs>
          <w:tab w:pos="1359" w:val="left" w:leader="none"/>
          <w:tab w:pos="1360" w:val="left" w:leader="none"/>
        </w:tabs>
        <w:spacing w:line="240" w:lineRule="auto" w:before="0" w:after="0"/>
        <w:ind w:left="1359" w:right="1093" w:hanging="1080"/>
        <w:jc w:val="left"/>
        <w:rPr>
          <w:sz w:val="24"/>
        </w:rPr>
      </w:pPr>
      <w:r>
        <w:rPr>
          <w:sz w:val="24"/>
        </w:rPr>
        <w:t>The discharge is subject to determination of “Pass” or “Fail” and “Percent Effect” from a chronic toxicity test using the Test of Significant Toxicity (TST)statistical t-test approach described in </w:t>
      </w:r>
      <w:r>
        <w:rPr>
          <w:i/>
          <w:sz w:val="24"/>
        </w:rPr>
        <w:t>National Pollutant Discharge </w:t>
      </w:r>
      <w:r>
        <w:rPr>
          <w:i/>
          <w:sz w:val="24"/>
        </w:rPr>
        <w:t>Elimination System Test of Significant Toxicity Implementation Document </w:t>
      </w:r>
      <w:r>
        <w:rPr>
          <w:sz w:val="24"/>
        </w:rPr>
        <w:t>(EPA 833-R-10-003, 2010), Appendix A, Figure A-1, Table A-1 and Appendix B, Table B-1. The null hypothesis (Ho) for the TST approach is: Mean discharge IWC response ≤0.75 × Mean control response. A test result that rejects this null hypothesis is reported as “Pass.” A test result that does not reject this null hypothesis is reported as “Fail.” The relative “Percent Effect” at the discharge IWC is defined and reported as: ((Mean control response - Mean discharge IWC response) ÷ Mean control response)) ×</w:t>
      </w:r>
      <w:r>
        <w:rPr>
          <w:spacing w:val="-13"/>
          <w:sz w:val="24"/>
        </w:rPr>
        <w:t> </w:t>
      </w:r>
      <w:r>
        <w:rPr>
          <w:sz w:val="24"/>
        </w:rPr>
        <w:t>100.</w:t>
      </w:r>
    </w:p>
    <w:p>
      <w:pPr>
        <w:spacing w:after="0" w:line="240" w:lineRule="auto"/>
        <w:jc w:val="left"/>
        <w:rPr>
          <w:sz w:val="24"/>
        </w:rPr>
        <w:sectPr>
          <w:pgSz w:w="12240" w:h="15840"/>
          <w:pgMar w:header="728" w:footer="788" w:top="1540" w:bottom="980" w:left="1160" w:right="420"/>
        </w:sectPr>
      </w:pPr>
    </w:p>
    <w:p>
      <w:pPr>
        <w:pStyle w:val="BodyText"/>
        <w:spacing w:before="10"/>
        <w:rPr>
          <w:sz w:val="15"/>
        </w:rPr>
      </w:pPr>
    </w:p>
    <w:p>
      <w:pPr>
        <w:pStyle w:val="ListParagraph"/>
        <w:numPr>
          <w:ilvl w:val="3"/>
          <w:numId w:val="20"/>
        </w:numPr>
        <w:tabs>
          <w:tab w:pos="1359" w:val="left" w:leader="none"/>
          <w:tab w:pos="1360" w:val="left" w:leader="none"/>
        </w:tabs>
        <w:spacing w:line="240" w:lineRule="auto" w:before="92" w:after="0"/>
        <w:ind w:left="1360" w:right="1187" w:hanging="1080"/>
        <w:jc w:val="left"/>
        <w:rPr>
          <w:sz w:val="23"/>
        </w:rPr>
      </w:pPr>
      <w:r>
        <w:rPr>
          <w:sz w:val="23"/>
        </w:rPr>
        <w:t>If the effluent toxicity test does not meet all test acceptability criteria (TAC)specified in the referenced test method </w:t>
      </w:r>
      <w:r>
        <w:rPr>
          <w:i/>
          <w:sz w:val="24"/>
        </w:rPr>
        <w:t>Short-term Methods for </w:t>
      </w:r>
      <w:r>
        <w:rPr>
          <w:i/>
          <w:sz w:val="24"/>
        </w:rPr>
        <w:t>Estimating the Chronic Toxicity of Effluents and Receiving Waters to Freshwater Organisms </w:t>
      </w:r>
      <w:r>
        <w:rPr>
          <w:sz w:val="24"/>
        </w:rPr>
        <w:t>(U.S.EPA 2002, EPA-821-R-02-013) (See Table E.3, below)</w:t>
      </w:r>
      <w:r>
        <w:rPr>
          <w:sz w:val="23"/>
        </w:rPr>
        <w:t>, then the Discharger must re-sample and re-test at the subsequent discharge</w:t>
      </w:r>
      <w:r>
        <w:rPr>
          <w:spacing w:val="-2"/>
          <w:sz w:val="23"/>
        </w:rPr>
        <w:t> </w:t>
      </w:r>
      <w:r>
        <w:rPr>
          <w:sz w:val="23"/>
        </w:rPr>
        <w:t>event.</w:t>
      </w:r>
    </w:p>
    <w:p>
      <w:pPr>
        <w:pStyle w:val="BodyText"/>
        <w:spacing w:before="8"/>
        <w:rPr>
          <w:sz w:val="20"/>
        </w:rPr>
      </w:pPr>
    </w:p>
    <w:p>
      <w:pPr>
        <w:pStyle w:val="Heading1"/>
        <w:ind w:left="280"/>
      </w:pPr>
      <w:r>
        <w:rPr/>
        <w:t>Table E-2. U.S. EPA Methods and Test Acceptability Criteria</w:t>
      </w:r>
    </w:p>
    <w:p>
      <w:pPr>
        <w:pStyle w:val="BodyText"/>
        <w:spacing w:before="10"/>
        <w:rPr>
          <w:b/>
          <w:sz w:val="20"/>
        </w:rPr>
      </w:pPr>
    </w:p>
    <w:tbl>
      <w:tblPr>
        <w:tblW w:w="0" w:type="auto"/>
        <w:jc w:val="left"/>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766"/>
        <w:gridCol w:w="4766"/>
      </w:tblGrid>
      <w:tr>
        <w:trPr>
          <w:trHeight w:val="254" w:hRule="atLeast"/>
        </w:trPr>
        <w:tc>
          <w:tcPr>
            <w:tcW w:w="4766" w:type="dxa"/>
            <w:shd w:val="clear" w:color="auto" w:fill="D9D9D9"/>
          </w:tcPr>
          <w:p>
            <w:pPr>
              <w:pStyle w:val="TableParagraph"/>
              <w:spacing w:line="233" w:lineRule="exact" w:before="1"/>
              <w:ind w:left="107"/>
              <w:jc w:val="left"/>
              <w:rPr>
                <w:b/>
                <w:sz w:val="22"/>
              </w:rPr>
            </w:pPr>
            <w:r>
              <w:rPr>
                <w:b/>
                <w:sz w:val="22"/>
              </w:rPr>
              <w:t>Species &amp; U.S. EPA Test Method Number</w:t>
            </w:r>
          </w:p>
        </w:tc>
        <w:tc>
          <w:tcPr>
            <w:tcW w:w="4766" w:type="dxa"/>
            <w:shd w:val="clear" w:color="auto" w:fill="D9D9D9"/>
          </w:tcPr>
          <w:p>
            <w:pPr>
              <w:pStyle w:val="TableParagraph"/>
              <w:spacing w:line="233" w:lineRule="exact" w:before="1"/>
              <w:ind w:left="108"/>
              <w:jc w:val="left"/>
              <w:rPr>
                <w:b/>
                <w:sz w:val="22"/>
              </w:rPr>
            </w:pPr>
            <w:r>
              <w:rPr>
                <w:b/>
                <w:sz w:val="22"/>
              </w:rPr>
              <w:t>Test Acceptability Criteria</w:t>
            </w:r>
          </w:p>
        </w:tc>
      </w:tr>
      <w:tr>
        <w:trPr>
          <w:trHeight w:val="1011" w:hRule="atLeast"/>
        </w:trPr>
        <w:tc>
          <w:tcPr>
            <w:tcW w:w="4766" w:type="dxa"/>
          </w:tcPr>
          <w:p>
            <w:pPr>
              <w:pStyle w:val="TableParagraph"/>
              <w:ind w:left="107" w:right="720"/>
              <w:jc w:val="both"/>
              <w:rPr>
                <w:sz w:val="22"/>
              </w:rPr>
            </w:pPr>
            <w:r>
              <w:rPr>
                <w:sz w:val="22"/>
              </w:rPr>
              <w:t>Fathead Minnow, </w:t>
            </w:r>
            <w:r>
              <w:rPr>
                <w:i/>
                <w:sz w:val="22"/>
              </w:rPr>
              <w:t>Pimephales promelas</w:t>
            </w:r>
            <w:r>
              <w:rPr>
                <w:sz w:val="22"/>
              </w:rPr>
              <w:t>, Larval Survival and Growth Test Method 1000.0. (Table 1 of Test Method)</w:t>
            </w:r>
          </w:p>
        </w:tc>
        <w:tc>
          <w:tcPr>
            <w:tcW w:w="4766" w:type="dxa"/>
          </w:tcPr>
          <w:p>
            <w:pPr>
              <w:pStyle w:val="TableParagraph"/>
              <w:ind w:left="108" w:right="403"/>
              <w:jc w:val="both"/>
              <w:rPr>
                <w:sz w:val="22"/>
              </w:rPr>
            </w:pPr>
            <w:r>
              <w:rPr>
                <w:sz w:val="22"/>
              </w:rPr>
              <w:t>80% or greater survival in controls; average dry weight per surviving organism in control chambers equals or exceeds 0.25 mg.</w:t>
            </w:r>
          </w:p>
          <w:p>
            <w:pPr>
              <w:pStyle w:val="TableParagraph"/>
              <w:spacing w:line="232" w:lineRule="exact"/>
              <w:ind w:left="108"/>
              <w:jc w:val="left"/>
              <w:rPr>
                <w:sz w:val="22"/>
              </w:rPr>
            </w:pPr>
            <w:r>
              <w:rPr>
                <w:sz w:val="22"/>
              </w:rPr>
              <w:t>(required)</w:t>
            </w:r>
          </w:p>
        </w:tc>
      </w:tr>
      <w:tr>
        <w:trPr>
          <w:trHeight w:val="1265" w:hRule="atLeast"/>
        </w:trPr>
        <w:tc>
          <w:tcPr>
            <w:tcW w:w="4766" w:type="dxa"/>
          </w:tcPr>
          <w:p>
            <w:pPr>
              <w:pStyle w:val="TableParagraph"/>
              <w:ind w:left="107" w:right="201"/>
              <w:jc w:val="left"/>
              <w:rPr>
                <w:sz w:val="22"/>
              </w:rPr>
            </w:pPr>
            <w:r>
              <w:rPr>
                <w:sz w:val="22"/>
              </w:rPr>
              <w:t>Daphnid, </w:t>
            </w:r>
            <w:r>
              <w:rPr>
                <w:i/>
                <w:sz w:val="22"/>
              </w:rPr>
              <w:t>Ceriodaphnia dubia</w:t>
            </w:r>
            <w:r>
              <w:rPr>
                <w:sz w:val="22"/>
              </w:rPr>
              <w:t>, Survival and Reproduction Test Method 1002.0. Table 3 of Test Method)</w:t>
            </w:r>
          </w:p>
        </w:tc>
        <w:tc>
          <w:tcPr>
            <w:tcW w:w="4766" w:type="dxa"/>
          </w:tcPr>
          <w:p>
            <w:pPr>
              <w:pStyle w:val="TableParagraph"/>
              <w:spacing w:line="254" w:lineRule="exact" w:before="3"/>
              <w:ind w:left="108" w:right="121"/>
              <w:jc w:val="left"/>
              <w:rPr>
                <w:sz w:val="22"/>
              </w:rPr>
            </w:pPr>
            <w:r>
              <w:rPr>
                <w:sz w:val="22"/>
              </w:rPr>
              <w:t>80% or greater survival of all control organisms and an average of 15 or more young per surviving female in the control solutions. 60% of the surviving control females must produce three broods.</w:t>
            </w:r>
            <w:r>
              <w:rPr>
                <w:spacing w:val="-2"/>
                <w:sz w:val="22"/>
              </w:rPr>
              <w:t> </w:t>
            </w:r>
            <w:r>
              <w:rPr>
                <w:sz w:val="22"/>
              </w:rPr>
              <w:t>(required)</w:t>
            </w:r>
          </w:p>
        </w:tc>
      </w:tr>
      <w:tr>
        <w:trPr>
          <w:trHeight w:val="1005" w:hRule="atLeast"/>
        </w:trPr>
        <w:tc>
          <w:tcPr>
            <w:tcW w:w="4766" w:type="dxa"/>
          </w:tcPr>
          <w:p>
            <w:pPr>
              <w:pStyle w:val="TableParagraph"/>
              <w:ind w:left="107" w:right="165"/>
              <w:jc w:val="left"/>
              <w:rPr>
                <w:sz w:val="22"/>
              </w:rPr>
            </w:pPr>
            <w:r>
              <w:rPr>
                <w:sz w:val="22"/>
              </w:rPr>
              <w:t>Green Alga, </w:t>
            </w:r>
            <w:r>
              <w:rPr>
                <w:i/>
                <w:sz w:val="22"/>
              </w:rPr>
              <w:t>Selenastrum capricornutum</w:t>
            </w:r>
            <w:r>
              <w:rPr>
                <w:sz w:val="22"/>
              </w:rPr>
              <w:t>, Growth Toxicity Test Method 1003.0. (Table 3 of Test Method)</w:t>
            </w:r>
          </w:p>
        </w:tc>
        <w:tc>
          <w:tcPr>
            <w:tcW w:w="4766" w:type="dxa"/>
          </w:tcPr>
          <w:p>
            <w:pPr>
              <w:pStyle w:val="TableParagraph"/>
              <w:ind w:left="108" w:right="360" w:hanging="1"/>
              <w:jc w:val="left"/>
              <w:rPr>
                <w:sz w:val="22"/>
              </w:rPr>
            </w:pPr>
            <w:r>
              <w:rPr>
                <w:sz w:val="22"/>
              </w:rPr>
              <w:t>Mean cell density as least 1x10</w:t>
            </w:r>
            <w:r>
              <w:rPr>
                <w:sz w:val="14"/>
              </w:rPr>
              <w:t>6 </w:t>
            </w:r>
            <w:r>
              <w:rPr>
                <w:sz w:val="22"/>
              </w:rPr>
              <w:t>cells/mL in the controls; and variability (CV%) among control replicates less than or equal to 20%.</w:t>
            </w:r>
          </w:p>
          <w:p>
            <w:pPr>
              <w:pStyle w:val="TableParagraph"/>
              <w:spacing w:line="234" w:lineRule="exact"/>
              <w:ind w:left="108"/>
              <w:jc w:val="left"/>
              <w:rPr>
                <w:sz w:val="22"/>
              </w:rPr>
            </w:pPr>
            <w:r>
              <w:rPr>
                <w:sz w:val="22"/>
              </w:rPr>
              <w:t>(required)</w:t>
            </w:r>
          </w:p>
        </w:tc>
      </w:tr>
    </w:tbl>
    <w:p>
      <w:pPr>
        <w:pStyle w:val="BodyText"/>
        <w:rPr>
          <w:b/>
          <w:sz w:val="26"/>
        </w:rPr>
      </w:pPr>
    </w:p>
    <w:p>
      <w:pPr>
        <w:pStyle w:val="ListParagraph"/>
        <w:numPr>
          <w:ilvl w:val="3"/>
          <w:numId w:val="20"/>
        </w:numPr>
        <w:tabs>
          <w:tab w:pos="1359" w:val="left" w:leader="none"/>
          <w:tab w:pos="1360" w:val="left" w:leader="none"/>
        </w:tabs>
        <w:spacing w:line="240" w:lineRule="auto" w:before="205" w:after="0"/>
        <w:ind w:left="1360" w:right="1323" w:hanging="1080"/>
        <w:jc w:val="left"/>
        <w:rPr>
          <w:sz w:val="24"/>
        </w:rPr>
      </w:pPr>
      <w:r>
        <w:rPr>
          <w:sz w:val="24"/>
        </w:rPr>
        <w:t>Reference toxicant tests and effluent toxicity tests shall be conducted</w:t>
      </w:r>
      <w:r>
        <w:rPr>
          <w:spacing w:val="-43"/>
          <w:sz w:val="24"/>
        </w:rPr>
        <w:t> </w:t>
      </w:r>
      <w:r>
        <w:rPr>
          <w:sz w:val="24"/>
        </w:rPr>
        <w:t>using the same test conditions (e.g., same test duration, etc.). Yearly reference toxicant testing is</w:t>
      </w:r>
      <w:r>
        <w:rPr>
          <w:spacing w:val="-1"/>
          <w:sz w:val="24"/>
        </w:rPr>
        <w:t> </w:t>
      </w:r>
      <w:r>
        <w:rPr>
          <w:sz w:val="24"/>
        </w:rPr>
        <w:t>sufficient.</w:t>
      </w:r>
    </w:p>
    <w:p>
      <w:pPr>
        <w:pStyle w:val="BodyText"/>
        <w:spacing w:before="10"/>
        <w:rPr>
          <w:sz w:val="20"/>
        </w:rPr>
      </w:pPr>
    </w:p>
    <w:p>
      <w:pPr>
        <w:pStyle w:val="ListParagraph"/>
        <w:numPr>
          <w:ilvl w:val="3"/>
          <w:numId w:val="20"/>
        </w:numPr>
        <w:tabs>
          <w:tab w:pos="1359" w:val="left" w:leader="none"/>
          <w:tab w:pos="1360" w:val="left" w:leader="none"/>
        </w:tabs>
        <w:spacing w:line="240" w:lineRule="auto" w:before="0" w:after="0"/>
        <w:ind w:left="1360" w:right="1093" w:hanging="1080"/>
        <w:jc w:val="left"/>
        <w:rPr>
          <w:sz w:val="24"/>
        </w:rPr>
      </w:pPr>
      <w:r>
        <w:rPr>
          <w:sz w:val="24"/>
        </w:rPr>
        <w:t>All reference toxicant test results should be reviewed and reported according to EPA guidance on the evaluation of concentration-response relationships found in </w:t>
      </w:r>
      <w:r>
        <w:rPr>
          <w:i/>
          <w:sz w:val="24"/>
        </w:rPr>
        <w:t>Method Guidance and Recommendations for Whole Effluent Toxicity </w:t>
      </w:r>
      <w:r>
        <w:rPr>
          <w:i/>
          <w:sz w:val="24"/>
        </w:rPr>
        <w:t>(WET) Testing </w:t>
      </w:r>
      <w:r>
        <w:rPr>
          <w:sz w:val="24"/>
        </w:rPr>
        <w:t>(40 CFR part 136) (EPA 821-B-00-004,</w:t>
      </w:r>
      <w:r>
        <w:rPr>
          <w:spacing w:val="-11"/>
          <w:sz w:val="24"/>
        </w:rPr>
        <w:t> </w:t>
      </w:r>
      <w:r>
        <w:rPr>
          <w:sz w:val="24"/>
        </w:rPr>
        <w:t>2000).</w:t>
      </w:r>
    </w:p>
    <w:p>
      <w:pPr>
        <w:pStyle w:val="BodyText"/>
        <w:spacing w:before="10"/>
        <w:rPr>
          <w:sz w:val="20"/>
        </w:rPr>
      </w:pPr>
    </w:p>
    <w:p>
      <w:pPr>
        <w:pStyle w:val="Heading1"/>
        <w:numPr>
          <w:ilvl w:val="1"/>
          <w:numId w:val="20"/>
        </w:numPr>
        <w:tabs>
          <w:tab w:pos="871" w:val="left" w:leader="none"/>
        </w:tabs>
        <w:spacing w:line="240" w:lineRule="auto" w:before="0" w:after="0"/>
        <w:ind w:left="870" w:right="0" w:hanging="591"/>
        <w:jc w:val="left"/>
      </w:pPr>
      <w:r>
        <w:rPr/>
        <w:t>Reporting</w:t>
      </w:r>
    </w:p>
    <w:p>
      <w:pPr>
        <w:pStyle w:val="BodyText"/>
        <w:rPr>
          <w:b/>
        </w:rPr>
      </w:pPr>
    </w:p>
    <w:p>
      <w:pPr>
        <w:pStyle w:val="BodyText"/>
        <w:ind w:left="870" w:right="1166"/>
      </w:pPr>
      <w:r>
        <w:rPr/>
        <w:t>The Discharger shall submit all toxicity test results via SMARTS within 30 days of obtaining all results for each sampling event. The Discharger shall include the followings:</w:t>
      </w:r>
    </w:p>
    <w:p>
      <w:pPr>
        <w:pStyle w:val="BodyText"/>
        <w:spacing w:before="10"/>
        <w:rPr>
          <w:sz w:val="20"/>
        </w:rPr>
      </w:pPr>
    </w:p>
    <w:p>
      <w:pPr>
        <w:pStyle w:val="ListParagraph"/>
        <w:numPr>
          <w:ilvl w:val="2"/>
          <w:numId w:val="20"/>
        </w:numPr>
        <w:tabs>
          <w:tab w:pos="1100" w:val="left" w:leader="none"/>
          <w:tab w:pos="1101" w:val="left" w:leader="none"/>
        </w:tabs>
        <w:spacing w:line="240" w:lineRule="auto" w:before="1" w:after="0"/>
        <w:ind w:left="1100" w:right="1766" w:hanging="821"/>
        <w:jc w:val="left"/>
        <w:rPr>
          <w:sz w:val="24"/>
        </w:rPr>
      </w:pPr>
      <w:r>
        <w:rPr>
          <w:sz w:val="24"/>
        </w:rPr>
        <w:t>A summary of water quality measurements for each toxicity test (e.g., pH, dissolved oxygen, temperature, conductivity, hardness, salinity, chlorine, ammonia).</w:t>
      </w:r>
    </w:p>
    <w:p>
      <w:pPr>
        <w:pStyle w:val="BodyText"/>
        <w:spacing w:before="9"/>
        <w:rPr>
          <w:sz w:val="20"/>
        </w:rPr>
      </w:pPr>
    </w:p>
    <w:p>
      <w:pPr>
        <w:pStyle w:val="ListParagraph"/>
        <w:numPr>
          <w:ilvl w:val="2"/>
          <w:numId w:val="20"/>
        </w:numPr>
        <w:tabs>
          <w:tab w:pos="1100" w:val="left" w:leader="none"/>
          <w:tab w:pos="1101" w:val="left" w:leader="none"/>
        </w:tabs>
        <w:spacing w:line="240" w:lineRule="auto" w:before="1" w:after="0"/>
        <w:ind w:left="1100" w:right="1115" w:hanging="821"/>
        <w:jc w:val="left"/>
        <w:rPr>
          <w:sz w:val="24"/>
        </w:rPr>
      </w:pPr>
      <w:r>
        <w:rPr>
          <w:sz w:val="24"/>
        </w:rPr>
        <w:t>The</w:t>
      </w:r>
      <w:r>
        <w:rPr>
          <w:spacing w:val="-7"/>
          <w:sz w:val="24"/>
        </w:rPr>
        <w:t> </w:t>
      </w:r>
      <w:r>
        <w:rPr>
          <w:sz w:val="24"/>
        </w:rPr>
        <w:t>statistical</w:t>
      </w:r>
      <w:r>
        <w:rPr>
          <w:spacing w:val="-6"/>
          <w:sz w:val="24"/>
        </w:rPr>
        <w:t> </w:t>
      </w:r>
      <w:r>
        <w:rPr>
          <w:sz w:val="24"/>
        </w:rPr>
        <w:t>analysis</w:t>
      </w:r>
      <w:r>
        <w:rPr>
          <w:spacing w:val="-6"/>
          <w:sz w:val="24"/>
        </w:rPr>
        <w:t> </w:t>
      </w:r>
      <w:r>
        <w:rPr>
          <w:sz w:val="24"/>
        </w:rPr>
        <w:t>used</w:t>
      </w:r>
      <w:r>
        <w:rPr>
          <w:spacing w:val="-6"/>
          <w:sz w:val="24"/>
        </w:rPr>
        <w:t> </w:t>
      </w:r>
      <w:r>
        <w:rPr>
          <w:sz w:val="24"/>
        </w:rPr>
        <w:t>in</w:t>
      </w:r>
      <w:r>
        <w:rPr>
          <w:spacing w:val="-6"/>
          <w:sz w:val="24"/>
        </w:rPr>
        <w:t> </w:t>
      </w:r>
      <w:r>
        <w:rPr>
          <w:sz w:val="24"/>
        </w:rPr>
        <w:t>National</w:t>
      </w:r>
      <w:r>
        <w:rPr>
          <w:spacing w:val="-6"/>
          <w:sz w:val="24"/>
        </w:rPr>
        <w:t> </w:t>
      </w:r>
      <w:r>
        <w:rPr>
          <w:sz w:val="24"/>
        </w:rPr>
        <w:t>Pollutant</w:t>
      </w:r>
      <w:r>
        <w:rPr>
          <w:spacing w:val="-6"/>
          <w:sz w:val="24"/>
        </w:rPr>
        <w:t> </w:t>
      </w:r>
      <w:r>
        <w:rPr>
          <w:sz w:val="24"/>
        </w:rPr>
        <w:t>Discharge</w:t>
      </w:r>
      <w:r>
        <w:rPr>
          <w:spacing w:val="-5"/>
          <w:sz w:val="24"/>
        </w:rPr>
        <w:t> </w:t>
      </w:r>
      <w:r>
        <w:rPr>
          <w:sz w:val="24"/>
        </w:rPr>
        <w:t>Elimination</w:t>
      </w:r>
      <w:r>
        <w:rPr>
          <w:spacing w:val="-6"/>
          <w:sz w:val="24"/>
        </w:rPr>
        <w:t> </w:t>
      </w:r>
      <w:r>
        <w:rPr>
          <w:sz w:val="24"/>
        </w:rPr>
        <w:t>System Test of Significant Toxicity Implementation Document (EPA 833-R-10-003, 2010) Appendix A, Figure A-1, Table A-1, and Appendix B, Table</w:t>
      </w:r>
      <w:r>
        <w:rPr>
          <w:spacing w:val="-19"/>
          <w:sz w:val="24"/>
        </w:rPr>
        <w:t> </w:t>
      </w:r>
      <w:r>
        <w:rPr>
          <w:sz w:val="24"/>
        </w:rPr>
        <w:t>B-1.</w:t>
      </w:r>
    </w:p>
    <w:p>
      <w:pPr>
        <w:spacing w:after="0" w:line="240" w:lineRule="auto"/>
        <w:jc w:val="left"/>
        <w:rPr>
          <w:sz w:val="24"/>
        </w:rPr>
        <w:sectPr>
          <w:pgSz w:w="12240" w:h="15840"/>
          <w:pgMar w:header="728" w:footer="788" w:top="1540" w:bottom="980" w:left="1160" w:right="420"/>
        </w:sectPr>
      </w:pPr>
    </w:p>
    <w:p>
      <w:pPr>
        <w:pStyle w:val="BodyText"/>
        <w:spacing w:before="11"/>
        <w:rPr>
          <w:sz w:val="15"/>
        </w:rPr>
      </w:pPr>
    </w:p>
    <w:p>
      <w:pPr>
        <w:pStyle w:val="ListParagraph"/>
        <w:numPr>
          <w:ilvl w:val="2"/>
          <w:numId w:val="20"/>
        </w:numPr>
        <w:tabs>
          <w:tab w:pos="1100" w:val="left" w:leader="none"/>
          <w:tab w:pos="1101" w:val="left" w:leader="none"/>
        </w:tabs>
        <w:spacing w:line="240" w:lineRule="auto" w:before="92" w:after="0"/>
        <w:ind w:left="1100" w:right="1313" w:hanging="821"/>
        <w:jc w:val="left"/>
        <w:rPr>
          <w:sz w:val="24"/>
        </w:rPr>
      </w:pPr>
      <w:r>
        <w:rPr>
          <w:sz w:val="24"/>
        </w:rPr>
        <w:t>Statistical program (e.g., TST calculator, CETIS, etc.) output results, including graphical plots, for each toxicity</w:t>
      </w:r>
      <w:r>
        <w:rPr>
          <w:spacing w:val="-2"/>
          <w:sz w:val="24"/>
        </w:rPr>
        <w:t> </w:t>
      </w:r>
      <w:r>
        <w:rPr>
          <w:sz w:val="24"/>
        </w:rPr>
        <w:t>test.</w:t>
      </w:r>
    </w:p>
    <w:p>
      <w:pPr>
        <w:pStyle w:val="BodyText"/>
        <w:spacing w:before="10"/>
        <w:rPr>
          <w:sz w:val="20"/>
        </w:rPr>
      </w:pPr>
    </w:p>
    <w:p>
      <w:pPr>
        <w:pStyle w:val="ListParagraph"/>
        <w:numPr>
          <w:ilvl w:val="2"/>
          <w:numId w:val="20"/>
        </w:numPr>
        <w:tabs>
          <w:tab w:pos="1100" w:val="left" w:leader="none"/>
          <w:tab w:pos="1101" w:val="left" w:leader="none"/>
        </w:tabs>
        <w:spacing w:line="240" w:lineRule="auto" w:before="0" w:after="0"/>
        <w:ind w:left="1100" w:right="1284" w:hanging="821"/>
        <w:jc w:val="left"/>
        <w:rPr>
          <w:sz w:val="24"/>
        </w:rPr>
      </w:pPr>
      <w:r>
        <w:rPr>
          <w:sz w:val="24"/>
        </w:rPr>
        <w:t>Any additional QA/QC documentation or any additional chronic toxicity-related information, upon request from the Los Angeles Water</w:t>
      </w:r>
      <w:r>
        <w:rPr>
          <w:spacing w:val="-9"/>
          <w:sz w:val="24"/>
        </w:rPr>
        <w:t> </w:t>
      </w:r>
      <w:r>
        <w:rPr>
          <w:sz w:val="24"/>
        </w:rPr>
        <w:t>Board.</w:t>
      </w:r>
    </w:p>
    <w:p>
      <w:pPr>
        <w:spacing w:after="0" w:line="240" w:lineRule="auto"/>
        <w:jc w:val="left"/>
        <w:rPr>
          <w:sz w:val="24"/>
        </w:rPr>
        <w:sectPr>
          <w:pgSz w:w="12240" w:h="15840"/>
          <w:pgMar w:header="728" w:footer="788" w:top="1540" w:bottom="980" w:left="1160" w:right="420"/>
        </w:sectPr>
      </w:pPr>
    </w:p>
    <w:p>
      <w:pPr>
        <w:pStyle w:val="BodyText"/>
        <w:spacing w:before="11"/>
        <w:rPr>
          <w:sz w:val="15"/>
        </w:rPr>
      </w:pPr>
    </w:p>
    <w:p>
      <w:pPr>
        <w:pStyle w:val="Heading1"/>
        <w:spacing w:line="448" w:lineRule="auto" w:before="92"/>
        <w:ind w:left="3666" w:right="3681" w:hanging="467"/>
      </w:pPr>
      <w:r>
        <w:rPr/>
        <w:t>ATTACHMENT F — FACT SHEET TABLE OF CONTENTS</w:t>
      </w:r>
    </w:p>
    <w:p>
      <w:pPr>
        <w:pStyle w:val="ListParagraph"/>
        <w:numPr>
          <w:ilvl w:val="0"/>
          <w:numId w:val="25"/>
        </w:numPr>
        <w:tabs>
          <w:tab w:pos="819" w:val="left" w:leader="none"/>
          <w:tab w:pos="820" w:val="left" w:leader="none"/>
          <w:tab w:pos="9286" w:val="left" w:leader="dot"/>
        </w:tabs>
        <w:spacing w:line="240" w:lineRule="auto" w:before="0" w:after="0"/>
        <w:ind w:left="820" w:right="0" w:hanging="541"/>
        <w:jc w:val="left"/>
        <w:rPr>
          <w:sz w:val="24"/>
        </w:rPr>
      </w:pPr>
      <w:r>
        <w:rPr>
          <w:sz w:val="24"/>
        </w:rPr>
        <w:t>Permit</w:t>
      </w:r>
      <w:r>
        <w:rPr>
          <w:spacing w:val="-2"/>
          <w:sz w:val="24"/>
        </w:rPr>
        <w:t> </w:t>
      </w:r>
      <w:r>
        <w:rPr>
          <w:sz w:val="24"/>
        </w:rPr>
        <w:t>Information</w:t>
        <w:tab/>
        <w:t>F-4</w:t>
      </w:r>
    </w:p>
    <w:p>
      <w:pPr>
        <w:pStyle w:val="BodyText"/>
        <w:spacing w:before="60"/>
        <w:ind w:left="524"/>
      </w:pPr>
      <w:r>
        <w:rPr/>
        <w:t>1.1. Facility Information ............................................................................................</w:t>
      </w:r>
      <w:r>
        <w:rPr>
          <w:spacing w:val="-49"/>
        </w:rPr>
        <w:t> </w:t>
      </w:r>
      <w:r>
        <w:rPr/>
        <w:t>F-4</w:t>
      </w:r>
    </w:p>
    <w:p>
      <w:pPr>
        <w:pStyle w:val="BodyText"/>
        <w:spacing w:before="60"/>
        <w:ind w:left="524"/>
      </w:pPr>
      <w:r>
        <w:rPr/>
        <w:t>1.2. Dischargers .......................................................................................................</w:t>
      </w:r>
      <w:r>
        <w:rPr>
          <w:spacing w:val="-58"/>
        </w:rPr>
        <w:t> </w:t>
      </w:r>
      <w:r>
        <w:rPr/>
        <w:t>F-5</w:t>
      </w:r>
    </w:p>
    <w:p>
      <w:pPr>
        <w:pStyle w:val="BodyText"/>
        <w:spacing w:before="60"/>
        <w:ind w:left="524"/>
      </w:pPr>
      <w:r>
        <w:rPr/>
        <w:t>1.3. Discharges.........................................................................................................</w:t>
      </w:r>
      <w:r>
        <w:rPr>
          <w:spacing w:val="-46"/>
        </w:rPr>
        <w:t> </w:t>
      </w:r>
      <w:r>
        <w:rPr/>
        <w:t>F-5</w:t>
      </w:r>
    </w:p>
    <w:p>
      <w:pPr>
        <w:pStyle w:val="BodyText"/>
        <w:spacing w:before="60"/>
        <w:ind w:left="524"/>
      </w:pPr>
      <w:r>
        <w:rPr/>
        <w:t>1.4.</w:t>
      </w:r>
      <w:r>
        <w:rPr>
          <w:spacing w:val="3"/>
        </w:rPr>
        <w:t> </w:t>
      </w:r>
      <w:r>
        <w:rPr/>
        <w:t>Permit</w:t>
      </w:r>
      <w:r>
        <w:rPr>
          <w:spacing w:val="-3"/>
        </w:rPr>
        <w:t> </w:t>
      </w:r>
      <w:r>
        <w:rPr/>
        <w:t>Scope</w:t>
      </w:r>
      <w:r>
        <w:rPr>
          <w:spacing w:val="-40"/>
        </w:rPr>
        <w:t> </w:t>
      </w:r>
      <w:r>
        <w:rPr/>
        <w:t>.....................................................................................................</w:t>
      </w:r>
      <w:r>
        <w:rPr>
          <w:spacing w:val="-51"/>
        </w:rPr>
        <w:t> </w:t>
      </w:r>
      <w:r>
        <w:rPr/>
        <w:t>F-5</w:t>
      </w:r>
    </w:p>
    <w:p>
      <w:pPr>
        <w:pStyle w:val="ListParagraph"/>
        <w:numPr>
          <w:ilvl w:val="0"/>
          <w:numId w:val="25"/>
        </w:numPr>
        <w:tabs>
          <w:tab w:pos="819" w:val="left" w:leader="none"/>
          <w:tab w:pos="820" w:val="left" w:leader="none"/>
        </w:tabs>
        <w:spacing w:line="240" w:lineRule="auto" w:before="60" w:after="0"/>
        <w:ind w:left="820" w:right="0" w:hanging="540"/>
        <w:jc w:val="left"/>
        <w:rPr>
          <w:sz w:val="24"/>
        </w:rPr>
      </w:pPr>
      <w:r>
        <w:rPr>
          <w:sz w:val="24"/>
        </w:rPr>
        <w:t>Background on Residual Designation of CII Facilities and Need for</w:t>
      </w:r>
      <w:r>
        <w:rPr>
          <w:spacing w:val="-26"/>
          <w:sz w:val="24"/>
        </w:rPr>
        <w:t> </w:t>
      </w:r>
      <w:r>
        <w:rPr>
          <w:sz w:val="24"/>
        </w:rPr>
        <w:t>General</w:t>
      </w:r>
    </w:p>
    <w:p>
      <w:pPr>
        <w:pStyle w:val="BodyText"/>
        <w:ind w:left="827"/>
      </w:pPr>
      <w:r>
        <w:rPr/>
        <w:t>Permit;</w:t>
      </w:r>
      <w:r>
        <w:rPr>
          <w:spacing w:val="-7"/>
        </w:rPr>
        <w:t> </w:t>
      </w:r>
      <w:r>
        <w:rPr/>
        <w:t>Authorities</w:t>
      </w:r>
      <w:r>
        <w:rPr>
          <w:spacing w:val="-52"/>
        </w:rPr>
        <w:t> </w:t>
      </w:r>
      <w:r>
        <w:rPr/>
        <w:t>................................................................................................</w:t>
      </w:r>
      <w:r>
        <w:rPr>
          <w:spacing w:val="-45"/>
        </w:rPr>
        <w:t> </w:t>
      </w:r>
      <w:r>
        <w:rPr/>
        <w:t>F-6</w:t>
      </w:r>
    </w:p>
    <w:p>
      <w:pPr>
        <w:pStyle w:val="ListParagraph"/>
        <w:numPr>
          <w:ilvl w:val="1"/>
          <w:numId w:val="25"/>
        </w:numPr>
        <w:tabs>
          <w:tab w:pos="1000" w:val="left" w:leader="none"/>
        </w:tabs>
        <w:spacing w:line="292" w:lineRule="auto" w:before="60" w:after="0"/>
        <w:ind w:left="524" w:right="1012" w:firstLine="0"/>
        <w:jc w:val="left"/>
        <w:rPr>
          <w:sz w:val="24"/>
        </w:rPr>
      </w:pPr>
      <w:r>
        <w:rPr>
          <w:sz w:val="24"/>
        </w:rPr>
        <w:t>Petitions</w:t>
      </w:r>
      <w:r>
        <w:rPr>
          <w:spacing w:val="-4"/>
          <w:sz w:val="24"/>
        </w:rPr>
        <w:t> </w:t>
      </w:r>
      <w:r>
        <w:rPr>
          <w:sz w:val="24"/>
        </w:rPr>
        <w:t>for</w:t>
      </w:r>
      <w:r>
        <w:rPr>
          <w:spacing w:val="-4"/>
          <w:sz w:val="24"/>
        </w:rPr>
        <w:t> </w:t>
      </w:r>
      <w:r>
        <w:rPr>
          <w:sz w:val="24"/>
        </w:rPr>
        <w:t>Residual</w:t>
      </w:r>
      <w:r>
        <w:rPr>
          <w:spacing w:val="-4"/>
          <w:sz w:val="24"/>
        </w:rPr>
        <w:t> </w:t>
      </w:r>
      <w:r>
        <w:rPr>
          <w:sz w:val="24"/>
        </w:rPr>
        <w:t>Designation</w:t>
      </w:r>
      <w:r>
        <w:rPr>
          <w:spacing w:val="-3"/>
          <w:sz w:val="24"/>
        </w:rPr>
        <w:t> </w:t>
      </w:r>
      <w:r>
        <w:rPr>
          <w:sz w:val="24"/>
        </w:rPr>
        <w:t>of</w:t>
      </w:r>
      <w:r>
        <w:rPr>
          <w:spacing w:val="-4"/>
          <w:sz w:val="24"/>
        </w:rPr>
        <w:t> </w:t>
      </w:r>
      <w:r>
        <w:rPr>
          <w:sz w:val="24"/>
        </w:rPr>
        <w:t>CII</w:t>
      </w:r>
      <w:r>
        <w:rPr>
          <w:spacing w:val="-4"/>
          <w:sz w:val="24"/>
        </w:rPr>
        <w:t> </w:t>
      </w:r>
      <w:r>
        <w:rPr>
          <w:sz w:val="24"/>
        </w:rPr>
        <w:t>Facilities</w:t>
      </w:r>
      <w:r>
        <w:rPr>
          <w:spacing w:val="-13"/>
          <w:sz w:val="24"/>
        </w:rPr>
        <w:t> </w:t>
      </w:r>
      <w:r>
        <w:rPr>
          <w:sz w:val="24"/>
        </w:rPr>
        <w:t>............................................</w:t>
      </w:r>
      <w:r>
        <w:rPr>
          <w:spacing w:val="-44"/>
          <w:sz w:val="24"/>
        </w:rPr>
        <w:t> </w:t>
      </w:r>
      <w:r>
        <w:rPr>
          <w:sz w:val="24"/>
        </w:rPr>
        <w:t>F-6 2.2.</w:t>
      </w:r>
      <w:r>
        <w:rPr>
          <w:spacing w:val="3"/>
          <w:sz w:val="24"/>
        </w:rPr>
        <w:t> </w:t>
      </w:r>
      <w:r>
        <w:rPr>
          <w:sz w:val="24"/>
        </w:rPr>
        <w:t>U.S.</w:t>
      </w:r>
      <w:r>
        <w:rPr>
          <w:spacing w:val="-3"/>
          <w:sz w:val="24"/>
        </w:rPr>
        <w:t> </w:t>
      </w:r>
      <w:r>
        <w:rPr>
          <w:sz w:val="24"/>
        </w:rPr>
        <w:t>EPA’s</w:t>
      </w:r>
      <w:r>
        <w:rPr>
          <w:spacing w:val="-3"/>
          <w:sz w:val="24"/>
        </w:rPr>
        <w:t> </w:t>
      </w:r>
      <w:r>
        <w:rPr>
          <w:sz w:val="24"/>
        </w:rPr>
        <w:t>Residual</w:t>
      </w:r>
      <w:r>
        <w:rPr>
          <w:spacing w:val="-4"/>
          <w:sz w:val="24"/>
        </w:rPr>
        <w:t> </w:t>
      </w:r>
      <w:r>
        <w:rPr>
          <w:sz w:val="24"/>
        </w:rPr>
        <w:t>Designation</w:t>
      </w:r>
      <w:r>
        <w:rPr>
          <w:spacing w:val="-4"/>
          <w:sz w:val="24"/>
        </w:rPr>
        <w:t> </w:t>
      </w:r>
      <w:r>
        <w:rPr>
          <w:sz w:val="24"/>
        </w:rPr>
        <w:t>of</w:t>
      </w:r>
      <w:r>
        <w:rPr>
          <w:spacing w:val="-4"/>
          <w:sz w:val="24"/>
        </w:rPr>
        <w:t> </w:t>
      </w:r>
      <w:r>
        <w:rPr>
          <w:sz w:val="24"/>
        </w:rPr>
        <w:t>CII</w:t>
      </w:r>
      <w:r>
        <w:rPr>
          <w:spacing w:val="-3"/>
          <w:sz w:val="24"/>
        </w:rPr>
        <w:t> </w:t>
      </w:r>
      <w:r>
        <w:rPr>
          <w:sz w:val="24"/>
        </w:rPr>
        <w:t>Facilities..............................................</w:t>
      </w:r>
      <w:r>
        <w:rPr>
          <w:spacing w:val="-45"/>
          <w:sz w:val="24"/>
        </w:rPr>
        <w:t> </w:t>
      </w:r>
      <w:r>
        <w:rPr>
          <w:sz w:val="24"/>
        </w:rPr>
        <w:t>F-8</w:t>
      </w:r>
    </w:p>
    <w:p>
      <w:pPr>
        <w:pStyle w:val="ListParagraph"/>
        <w:numPr>
          <w:ilvl w:val="1"/>
          <w:numId w:val="26"/>
        </w:numPr>
        <w:tabs>
          <w:tab w:pos="1000" w:val="left" w:leader="none"/>
        </w:tabs>
        <w:spacing w:line="240" w:lineRule="auto" w:before="0" w:after="0"/>
        <w:ind w:left="1000" w:right="1009" w:hanging="476"/>
        <w:jc w:val="left"/>
        <w:rPr>
          <w:sz w:val="24"/>
        </w:rPr>
      </w:pPr>
      <w:r>
        <w:rPr>
          <w:sz w:val="24"/>
        </w:rPr>
        <w:t>Nature of Residual Designation Discharges as a Source of Pollutants to Receiving Waters ..............................................................................................</w:t>
      </w:r>
      <w:r>
        <w:rPr>
          <w:spacing w:val="-58"/>
          <w:sz w:val="24"/>
        </w:rPr>
        <w:t> </w:t>
      </w:r>
      <w:r>
        <w:rPr>
          <w:sz w:val="24"/>
        </w:rPr>
        <w:t>F-8</w:t>
      </w:r>
    </w:p>
    <w:p>
      <w:pPr>
        <w:pStyle w:val="ListParagraph"/>
        <w:numPr>
          <w:ilvl w:val="1"/>
          <w:numId w:val="26"/>
        </w:numPr>
        <w:tabs>
          <w:tab w:pos="1000" w:val="left" w:leader="none"/>
        </w:tabs>
        <w:spacing w:line="240" w:lineRule="auto" w:before="59" w:after="0"/>
        <w:ind w:left="1000" w:right="0" w:hanging="476"/>
        <w:jc w:val="left"/>
        <w:rPr>
          <w:sz w:val="24"/>
        </w:rPr>
      </w:pPr>
      <w:r>
        <w:rPr>
          <w:sz w:val="24"/>
        </w:rPr>
        <w:t>Description</w:t>
      </w:r>
      <w:r>
        <w:rPr>
          <w:spacing w:val="-2"/>
          <w:sz w:val="24"/>
        </w:rPr>
        <w:t> </w:t>
      </w:r>
      <w:r>
        <w:rPr>
          <w:sz w:val="24"/>
        </w:rPr>
        <w:t>of</w:t>
      </w:r>
      <w:r>
        <w:rPr>
          <w:spacing w:val="-1"/>
          <w:sz w:val="24"/>
        </w:rPr>
        <w:t> </w:t>
      </w:r>
      <w:r>
        <w:rPr>
          <w:sz w:val="24"/>
        </w:rPr>
        <w:t>Receiving</w:t>
      </w:r>
      <w:r>
        <w:rPr>
          <w:spacing w:val="-1"/>
          <w:sz w:val="24"/>
        </w:rPr>
        <w:t> </w:t>
      </w:r>
      <w:r>
        <w:rPr>
          <w:sz w:val="24"/>
        </w:rPr>
        <w:t>Waters</w:t>
      </w:r>
      <w:r>
        <w:rPr>
          <w:spacing w:val="-1"/>
          <w:sz w:val="24"/>
        </w:rPr>
        <w:t> </w:t>
      </w:r>
      <w:r>
        <w:rPr>
          <w:sz w:val="24"/>
        </w:rPr>
        <w:t>and</w:t>
      </w:r>
      <w:r>
        <w:rPr>
          <w:spacing w:val="-1"/>
          <w:sz w:val="24"/>
        </w:rPr>
        <w:t> </w:t>
      </w:r>
      <w:r>
        <w:rPr>
          <w:sz w:val="24"/>
        </w:rPr>
        <w:t>Watershed</w:t>
      </w:r>
      <w:r>
        <w:rPr>
          <w:spacing w:val="-1"/>
          <w:sz w:val="24"/>
        </w:rPr>
        <w:t> </w:t>
      </w:r>
      <w:r>
        <w:rPr>
          <w:sz w:val="24"/>
        </w:rPr>
        <w:t>Management</w:t>
      </w:r>
      <w:r>
        <w:rPr>
          <w:spacing w:val="-1"/>
          <w:sz w:val="24"/>
        </w:rPr>
        <w:t> </w:t>
      </w:r>
      <w:r>
        <w:rPr>
          <w:sz w:val="24"/>
        </w:rPr>
        <w:t>Areas</w:t>
      </w:r>
      <w:r>
        <w:rPr>
          <w:spacing w:val="-23"/>
          <w:sz w:val="24"/>
        </w:rPr>
        <w:t> </w:t>
      </w:r>
      <w:r>
        <w:rPr>
          <w:sz w:val="24"/>
        </w:rPr>
        <w:t>............</w:t>
      </w:r>
      <w:r>
        <w:rPr>
          <w:spacing w:val="-43"/>
          <w:sz w:val="24"/>
        </w:rPr>
        <w:t> </w:t>
      </w:r>
      <w:r>
        <w:rPr>
          <w:sz w:val="24"/>
        </w:rPr>
        <w:t>F-10</w:t>
      </w:r>
    </w:p>
    <w:p>
      <w:pPr>
        <w:pStyle w:val="ListParagraph"/>
        <w:numPr>
          <w:ilvl w:val="2"/>
          <w:numId w:val="26"/>
        </w:numPr>
        <w:tabs>
          <w:tab w:pos="1600" w:val="left" w:leader="none"/>
        </w:tabs>
        <w:spacing w:line="240" w:lineRule="auto" w:before="60" w:after="0"/>
        <w:ind w:left="1600" w:right="0" w:hanging="845"/>
        <w:jc w:val="both"/>
        <w:rPr>
          <w:sz w:val="24"/>
        </w:rPr>
      </w:pPr>
      <w:r>
        <w:rPr>
          <w:sz w:val="24"/>
        </w:rPr>
        <w:t>Alamitos</w:t>
      </w:r>
      <w:r>
        <w:rPr>
          <w:spacing w:val="-2"/>
          <w:sz w:val="24"/>
        </w:rPr>
        <w:t> </w:t>
      </w:r>
      <w:r>
        <w:rPr>
          <w:sz w:val="24"/>
        </w:rPr>
        <w:t>Bay/Los</w:t>
      </w:r>
      <w:r>
        <w:rPr>
          <w:spacing w:val="-1"/>
          <w:sz w:val="24"/>
        </w:rPr>
        <w:t> </w:t>
      </w:r>
      <w:r>
        <w:rPr>
          <w:sz w:val="24"/>
        </w:rPr>
        <w:t>Cerritos</w:t>
      </w:r>
      <w:r>
        <w:rPr>
          <w:spacing w:val="-1"/>
          <w:sz w:val="24"/>
        </w:rPr>
        <w:t> </w:t>
      </w:r>
      <w:r>
        <w:rPr>
          <w:sz w:val="24"/>
        </w:rPr>
        <w:t>Channel</w:t>
      </w:r>
      <w:r>
        <w:rPr>
          <w:spacing w:val="-2"/>
          <w:sz w:val="24"/>
        </w:rPr>
        <w:t> </w:t>
      </w:r>
      <w:r>
        <w:rPr>
          <w:sz w:val="24"/>
        </w:rPr>
        <w:t>Watershed</w:t>
      </w:r>
      <w:r>
        <w:rPr>
          <w:spacing w:val="-1"/>
          <w:sz w:val="24"/>
        </w:rPr>
        <w:t> </w:t>
      </w:r>
      <w:r>
        <w:rPr>
          <w:sz w:val="24"/>
        </w:rPr>
        <w:t>Management</w:t>
      </w:r>
      <w:r>
        <w:rPr>
          <w:spacing w:val="-1"/>
          <w:sz w:val="24"/>
        </w:rPr>
        <w:t> </w:t>
      </w:r>
      <w:r>
        <w:rPr>
          <w:sz w:val="24"/>
        </w:rPr>
        <w:t>Area</w:t>
      </w:r>
      <w:r>
        <w:rPr>
          <w:spacing w:val="-8"/>
          <w:sz w:val="24"/>
        </w:rPr>
        <w:t> </w:t>
      </w:r>
      <w:r>
        <w:rPr>
          <w:sz w:val="24"/>
        </w:rPr>
        <w:t>.......</w:t>
      </w:r>
      <w:r>
        <w:rPr>
          <w:spacing w:val="-52"/>
          <w:sz w:val="24"/>
        </w:rPr>
        <w:t> </w:t>
      </w:r>
      <w:r>
        <w:rPr>
          <w:sz w:val="24"/>
        </w:rPr>
        <w:t>F-10</w:t>
      </w:r>
    </w:p>
    <w:p>
      <w:pPr>
        <w:pStyle w:val="ListParagraph"/>
        <w:numPr>
          <w:ilvl w:val="2"/>
          <w:numId w:val="26"/>
        </w:numPr>
        <w:tabs>
          <w:tab w:pos="1600" w:val="left" w:leader="none"/>
        </w:tabs>
        <w:spacing w:line="240" w:lineRule="auto" w:before="0" w:after="0"/>
        <w:ind w:left="755" w:right="1019" w:firstLine="0"/>
        <w:jc w:val="both"/>
        <w:rPr>
          <w:sz w:val="24"/>
        </w:rPr>
      </w:pPr>
      <w:r>
        <w:rPr>
          <w:sz w:val="24"/>
        </w:rPr>
        <w:t>Dominguez Channel and Los Angeles/Long Beach Inner Harbor Watershed Management Area............................................................................................... F-11 2.4.2.1.</w:t>
      </w:r>
      <w:r>
        <w:rPr>
          <w:spacing w:val="-28"/>
          <w:sz w:val="24"/>
        </w:rPr>
        <w:t> </w:t>
      </w:r>
      <w:r>
        <w:rPr>
          <w:sz w:val="24"/>
        </w:rPr>
        <w:t>Machado</w:t>
      </w:r>
      <w:r>
        <w:rPr>
          <w:spacing w:val="-8"/>
          <w:sz w:val="24"/>
        </w:rPr>
        <w:t> </w:t>
      </w:r>
      <w:r>
        <w:rPr>
          <w:sz w:val="24"/>
        </w:rPr>
        <w:t>Lake</w:t>
      </w:r>
      <w:r>
        <w:rPr>
          <w:spacing w:val="-7"/>
          <w:sz w:val="24"/>
        </w:rPr>
        <w:t> </w:t>
      </w:r>
      <w:r>
        <w:rPr>
          <w:sz w:val="24"/>
        </w:rPr>
        <w:t>Subwatershed</w:t>
      </w:r>
      <w:r>
        <w:rPr>
          <w:spacing w:val="-27"/>
          <w:sz w:val="24"/>
        </w:rPr>
        <w:t> </w:t>
      </w:r>
      <w:r>
        <w:rPr>
          <w:sz w:val="24"/>
        </w:rPr>
        <w:t>................................................................</w:t>
      </w:r>
      <w:r>
        <w:rPr>
          <w:spacing w:val="-52"/>
          <w:sz w:val="24"/>
        </w:rPr>
        <w:t> </w:t>
      </w:r>
      <w:r>
        <w:rPr>
          <w:sz w:val="24"/>
        </w:rPr>
        <w:t>F-12</w:t>
      </w:r>
    </w:p>
    <w:p>
      <w:pPr>
        <w:pStyle w:val="BodyText"/>
        <w:tabs>
          <w:tab w:pos="819" w:val="left" w:leader="none"/>
        </w:tabs>
        <w:spacing w:line="292" w:lineRule="auto"/>
        <w:ind w:left="524" w:right="1035" w:hanging="245"/>
      </w:pPr>
      <w:r>
        <w:rPr/>
        <w:t>3.</w:t>
        <w:tab/>
        <w:tab/>
        <w:t>Applicable</w:t>
      </w:r>
      <w:r>
        <w:rPr>
          <w:spacing w:val="-6"/>
        </w:rPr>
        <w:t> </w:t>
      </w:r>
      <w:r>
        <w:rPr/>
        <w:t>Plans,</w:t>
      </w:r>
      <w:r>
        <w:rPr>
          <w:spacing w:val="-6"/>
        </w:rPr>
        <w:t> </w:t>
      </w:r>
      <w:r>
        <w:rPr/>
        <w:t>Policies,</w:t>
      </w:r>
      <w:r>
        <w:rPr>
          <w:spacing w:val="-5"/>
        </w:rPr>
        <w:t> </w:t>
      </w:r>
      <w:r>
        <w:rPr/>
        <w:t>and</w:t>
      </w:r>
      <w:r>
        <w:rPr>
          <w:spacing w:val="-6"/>
        </w:rPr>
        <w:t> </w:t>
      </w:r>
      <w:r>
        <w:rPr/>
        <w:t>Regulations.......................................................</w:t>
      </w:r>
      <w:r>
        <w:rPr>
          <w:spacing w:val="-43"/>
        </w:rPr>
        <w:t> </w:t>
      </w:r>
      <w:r>
        <w:rPr/>
        <w:t>F-12 3.1.</w:t>
      </w:r>
      <w:r>
        <w:rPr>
          <w:spacing w:val="2"/>
        </w:rPr>
        <w:t> </w:t>
      </w:r>
      <w:r>
        <w:rPr/>
        <w:t>Legal</w:t>
      </w:r>
      <w:r>
        <w:rPr>
          <w:spacing w:val="-5"/>
        </w:rPr>
        <w:t> </w:t>
      </w:r>
      <w:r>
        <w:rPr/>
        <w:t>Authorities</w:t>
      </w:r>
      <w:r>
        <w:rPr>
          <w:spacing w:val="-51"/>
        </w:rPr>
        <w:t> </w:t>
      </w:r>
      <w:r>
        <w:rPr/>
        <w:t>..............................................................................................</w:t>
      </w:r>
      <w:r>
        <w:rPr>
          <w:spacing w:val="-42"/>
        </w:rPr>
        <w:t> </w:t>
      </w:r>
      <w:r>
        <w:rPr/>
        <w:t>F-12</w:t>
      </w:r>
    </w:p>
    <w:p>
      <w:pPr>
        <w:pStyle w:val="BodyText"/>
        <w:spacing w:line="275" w:lineRule="exact"/>
        <w:ind w:left="524"/>
      </w:pPr>
      <w:r>
        <w:rPr/>
        <w:t>3.2.</w:t>
      </w:r>
      <w:r>
        <w:rPr>
          <w:spacing w:val="3"/>
        </w:rPr>
        <w:t> </w:t>
      </w:r>
      <w:r>
        <w:rPr/>
        <w:t>California</w:t>
      </w:r>
      <w:r>
        <w:rPr>
          <w:spacing w:val="-4"/>
        </w:rPr>
        <w:t> </w:t>
      </w:r>
      <w:r>
        <w:rPr/>
        <w:t>Environmental</w:t>
      </w:r>
      <w:r>
        <w:rPr>
          <w:spacing w:val="-4"/>
        </w:rPr>
        <w:t> </w:t>
      </w:r>
      <w:r>
        <w:rPr/>
        <w:t>Quality</w:t>
      </w:r>
      <w:r>
        <w:rPr>
          <w:spacing w:val="-4"/>
        </w:rPr>
        <w:t> </w:t>
      </w:r>
      <w:r>
        <w:rPr/>
        <w:t>Act</w:t>
      </w:r>
      <w:r>
        <w:rPr>
          <w:spacing w:val="-23"/>
        </w:rPr>
        <w:t> </w:t>
      </w:r>
      <w:r>
        <w:rPr/>
        <w:t>...............................................................</w:t>
      </w:r>
      <w:r>
        <w:rPr>
          <w:spacing w:val="-42"/>
        </w:rPr>
        <w:t> </w:t>
      </w:r>
      <w:r>
        <w:rPr/>
        <w:t>F-12</w:t>
      </w:r>
    </w:p>
    <w:p>
      <w:pPr>
        <w:pStyle w:val="BodyText"/>
        <w:spacing w:before="60"/>
        <w:ind w:left="524"/>
      </w:pPr>
      <w:r>
        <w:rPr/>
        <w:t>3.3.</w:t>
      </w:r>
      <w:r>
        <w:rPr>
          <w:spacing w:val="3"/>
        </w:rPr>
        <w:t> </w:t>
      </w:r>
      <w:r>
        <w:rPr/>
        <w:t>Water</w:t>
      </w:r>
      <w:r>
        <w:rPr>
          <w:spacing w:val="-3"/>
        </w:rPr>
        <w:t> </w:t>
      </w:r>
      <w:r>
        <w:rPr/>
        <w:t>Code</w:t>
      </w:r>
      <w:r>
        <w:rPr>
          <w:spacing w:val="-4"/>
        </w:rPr>
        <w:t> </w:t>
      </w:r>
      <w:r>
        <w:rPr/>
        <w:t>Sections</w:t>
      </w:r>
      <w:r>
        <w:rPr>
          <w:spacing w:val="-4"/>
        </w:rPr>
        <w:t> </w:t>
      </w:r>
      <w:r>
        <w:rPr/>
        <w:t>189.7</w:t>
      </w:r>
      <w:r>
        <w:rPr>
          <w:spacing w:val="-3"/>
        </w:rPr>
        <w:t> </w:t>
      </w:r>
      <w:r>
        <w:rPr/>
        <w:t>and</w:t>
      </w:r>
      <w:r>
        <w:rPr>
          <w:spacing w:val="-4"/>
        </w:rPr>
        <w:t> </w:t>
      </w:r>
      <w:r>
        <w:rPr/>
        <w:t>13149.2</w:t>
      </w:r>
      <w:r>
        <w:rPr>
          <w:spacing w:val="-4"/>
        </w:rPr>
        <w:t> </w:t>
      </w:r>
      <w:r>
        <w:rPr/>
        <w:t>Public</w:t>
      </w:r>
      <w:r>
        <w:rPr>
          <w:spacing w:val="-4"/>
        </w:rPr>
        <w:t> </w:t>
      </w:r>
      <w:r>
        <w:rPr/>
        <w:t>Outreach</w:t>
      </w:r>
      <w:r>
        <w:rPr>
          <w:spacing w:val="-6"/>
        </w:rPr>
        <w:t> </w:t>
      </w:r>
      <w:r>
        <w:rPr/>
        <w:t>.............................</w:t>
      </w:r>
      <w:r>
        <w:rPr>
          <w:spacing w:val="-42"/>
        </w:rPr>
        <w:t> </w:t>
      </w:r>
      <w:r>
        <w:rPr/>
        <w:t>F-13</w:t>
      </w:r>
    </w:p>
    <w:p>
      <w:pPr>
        <w:pStyle w:val="BodyText"/>
        <w:spacing w:before="59"/>
        <w:ind w:left="524"/>
      </w:pPr>
      <w:r>
        <w:rPr/>
        <w:t>3.4.</w:t>
      </w:r>
      <w:r>
        <w:rPr>
          <w:spacing w:val="4"/>
        </w:rPr>
        <w:t> </w:t>
      </w:r>
      <w:r>
        <w:rPr/>
        <w:t>Water</w:t>
      </w:r>
      <w:r>
        <w:rPr>
          <w:spacing w:val="-2"/>
        </w:rPr>
        <w:t> </w:t>
      </w:r>
      <w:r>
        <w:rPr/>
        <w:t>Quality</w:t>
      </w:r>
      <w:r>
        <w:rPr>
          <w:spacing w:val="-3"/>
        </w:rPr>
        <w:t> </w:t>
      </w:r>
      <w:r>
        <w:rPr/>
        <w:t>Control</w:t>
      </w:r>
      <w:r>
        <w:rPr>
          <w:spacing w:val="-3"/>
        </w:rPr>
        <w:t> </w:t>
      </w:r>
      <w:r>
        <w:rPr/>
        <w:t>Plan</w:t>
      </w:r>
      <w:r>
        <w:rPr>
          <w:spacing w:val="-2"/>
        </w:rPr>
        <w:t> </w:t>
      </w:r>
      <w:r>
        <w:rPr/>
        <w:t>–</w:t>
      </w:r>
      <w:r>
        <w:rPr>
          <w:spacing w:val="-3"/>
        </w:rPr>
        <w:t> </w:t>
      </w:r>
      <w:r>
        <w:rPr/>
        <w:t>Los</w:t>
      </w:r>
      <w:r>
        <w:rPr>
          <w:spacing w:val="-2"/>
        </w:rPr>
        <w:t> </w:t>
      </w:r>
      <w:r>
        <w:rPr/>
        <w:t>Angeles</w:t>
      </w:r>
      <w:r>
        <w:rPr>
          <w:spacing w:val="-2"/>
        </w:rPr>
        <w:t> </w:t>
      </w:r>
      <w:r>
        <w:rPr/>
        <w:t>Region</w:t>
      </w:r>
      <w:r>
        <w:rPr>
          <w:spacing w:val="-25"/>
        </w:rPr>
        <w:t> </w:t>
      </w:r>
      <w:r>
        <w:rPr/>
        <w:t>..........................................</w:t>
      </w:r>
      <w:r>
        <w:rPr>
          <w:spacing w:val="-42"/>
        </w:rPr>
        <w:t> </w:t>
      </w:r>
      <w:r>
        <w:rPr/>
        <w:t>F-15</w:t>
      </w:r>
    </w:p>
    <w:p>
      <w:pPr>
        <w:pStyle w:val="BodyText"/>
        <w:spacing w:line="292" w:lineRule="auto" w:before="60"/>
        <w:ind w:left="524" w:right="1009"/>
        <w:jc w:val="both"/>
      </w:pPr>
      <w:r>
        <w:rPr/>
        <w:t>3.5.</w:t>
      </w:r>
      <w:r>
        <w:rPr>
          <w:spacing w:val="2"/>
        </w:rPr>
        <w:t> </w:t>
      </w:r>
      <w:r>
        <w:rPr/>
        <w:t>Statewide</w:t>
      </w:r>
      <w:r>
        <w:rPr>
          <w:spacing w:val="-5"/>
        </w:rPr>
        <w:t> </w:t>
      </w:r>
      <w:r>
        <w:rPr/>
        <w:t>Trash,</w:t>
      </w:r>
      <w:r>
        <w:rPr>
          <w:spacing w:val="-5"/>
        </w:rPr>
        <w:t> </w:t>
      </w:r>
      <w:r>
        <w:rPr/>
        <w:t>Mercury</w:t>
      </w:r>
      <w:r>
        <w:rPr>
          <w:spacing w:val="-4"/>
        </w:rPr>
        <w:t> </w:t>
      </w:r>
      <w:r>
        <w:rPr/>
        <w:t>and</w:t>
      </w:r>
      <w:r>
        <w:rPr>
          <w:spacing w:val="-6"/>
        </w:rPr>
        <w:t> </w:t>
      </w:r>
      <w:r>
        <w:rPr/>
        <w:t>Bacteria</w:t>
      </w:r>
      <w:r>
        <w:rPr>
          <w:spacing w:val="-5"/>
        </w:rPr>
        <w:t> </w:t>
      </w:r>
      <w:r>
        <w:rPr/>
        <w:t>Provisions</w:t>
      </w:r>
      <w:r>
        <w:rPr>
          <w:spacing w:val="-25"/>
        </w:rPr>
        <w:t> </w:t>
      </w:r>
      <w:r>
        <w:rPr/>
        <w:t>.........................................</w:t>
      </w:r>
      <w:r>
        <w:rPr>
          <w:spacing w:val="-43"/>
        </w:rPr>
        <w:t> </w:t>
      </w:r>
      <w:r>
        <w:rPr/>
        <w:t>F-17 3.6. Thermal Plan ................................................................................................... F-18 3.7. Sediment Quality ............................................................................................. F-18 3.8.</w:t>
      </w:r>
      <w:r>
        <w:rPr>
          <w:spacing w:val="5"/>
        </w:rPr>
        <w:t> </w:t>
      </w:r>
      <w:r>
        <w:rPr/>
        <w:t>National</w:t>
      </w:r>
      <w:r>
        <w:rPr>
          <w:spacing w:val="-2"/>
        </w:rPr>
        <w:t> </w:t>
      </w:r>
      <w:r>
        <w:rPr/>
        <w:t>Toxics</w:t>
      </w:r>
      <w:r>
        <w:rPr>
          <w:spacing w:val="-2"/>
        </w:rPr>
        <w:t> </w:t>
      </w:r>
      <w:r>
        <w:rPr/>
        <w:t>Rule</w:t>
      </w:r>
      <w:r>
        <w:rPr>
          <w:spacing w:val="-2"/>
        </w:rPr>
        <w:t> </w:t>
      </w:r>
      <w:r>
        <w:rPr/>
        <w:t>and</w:t>
      </w:r>
      <w:r>
        <w:rPr>
          <w:spacing w:val="-3"/>
        </w:rPr>
        <w:t> </w:t>
      </w:r>
      <w:r>
        <w:rPr/>
        <w:t>California</w:t>
      </w:r>
      <w:r>
        <w:rPr>
          <w:spacing w:val="-2"/>
        </w:rPr>
        <w:t> </w:t>
      </w:r>
      <w:r>
        <w:rPr/>
        <w:t>Toxics</w:t>
      </w:r>
      <w:r>
        <w:rPr>
          <w:spacing w:val="-3"/>
        </w:rPr>
        <w:t> </w:t>
      </w:r>
      <w:r>
        <w:rPr/>
        <w:t>Rule</w:t>
      </w:r>
      <w:r>
        <w:rPr>
          <w:spacing w:val="-40"/>
        </w:rPr>
        <w:t> </w:t>
      </w:r>
      <w:r>
        <w:rPr/>
        <w:t>.............................................</w:t>
      </w:r>
      <w:r>
        <w:rPr>
          <w:spacing w:val="-42"/>
        </w:rPr>
        <w:t> </w:t>
      </w:r>
      <w:r>
        <w:rPr/>
        <w:t>F-18 3.9.</w:t>
      </w:r>
      <w:r>
        <w:rPr>
          <w:spacing w:val="5"/>
        </w:rPr>
        <w:t> </w:t>
      </w:r>
      <w:r>
        <w:rPr/>
        <w:t>State</w:t>
      </w:r>
      <w:r>
        <w:rPr>
          <w:spacing w:val="-3"/>
        </w:rPr>
        <w:t> </w:t>
      </w:r>
      <w:r>
        <w:rPr/>
        <w:t>Implementation</w:t>
      </w:r>
      <w:r>
        <w:rPr>
          <w:spacing w:val="-3"/>
        </w:rPr>
        <w:t> </w:t>
      </w:r>
      <w:r>
        <w:rPr/>
        <w:t>Policy</w:t>
      </w:r>
      <w:r>
        <w:rPr>
          <w:spacing w:val="-28"/>
        </w:rPr>
        <w:t> </w:t>
      </w:r>
      <w:r>
        <w:rPr/>
        <w:t>............................................................................</w:t>
      </w:r>
      <w:r>
        <w:rPr>
          <w:spacing w:val="-42"/>
        </w:rPr>
        <w:t> </w:t>
      </w:r>
      <w:r>
        <w:rPr/>
        <w:t>F-18 3.10. Antidegradation Policy ............................................................................... F-19 3.11. Anti-Backsliding Requirements .................................................................. F-19 3.11.     California Water Code Section 13241........................................................</w:t>
      </w:r>
      <w:r>
        <w:rPr>
          <w:spacing w:val="-58"/>
        </w:rPr>
        <w:t> </w:t>
      </w:r>
      <w:r>
        <w:rPr/>
        <w:t>F-19</w:t>
      </w:r>
    </w:p>
    <w:p>
      <w:pPr>
        <w:pStyle w:val="ListParagraph"/>
        <w:numPr>
          <w:ilvl w:val="2"/>
          <w:numId w:val="27"/>
        </w:numPr>
        <w:tabs>
          <w:tab w:pos="1600" w:val="left" w:leader="none"/>
        </w:tabs>
        <w:spacing w:line="270" w:lineRule="exact" w:before="0" w:after="0"/>
        <w:ind w:left="1600" w:right="0" w:hanging="845"/>
        <w:jc w:val="left"/>
        <w:rPr>
          <w:sz w:val="24"/>
        </w:rPr>
      </w:pPr>
      <w:r>
        <w:rPr>
          <w:sz w:val="24"/>
        </w:rPr>
        <w:t>Past,</w:t>
      </w:r>
      <w:r>
        <w:rPr>
          <w:spacing w:val="-2"/>
          <w:sz w:val="24"/>
        </w:rPr>
        <w:t> </w:t>
      </w:r>
      <w:r>
        <w:rPr>
          <w:sz w:val="24"/>
        </w:rPr>
        <w:t>Present,</w:t>
      </w:r>
      <w:r>
        <w:rPr>
          <w:spacing w:val="-1"/>
          <w:sz w:val="24"/>
        </w:rPr>
        <w:t> </w:t>
      </w:r>
      <w:r>
        <w:rPr>
          <w:sz w:val="24"/>
        </w:rPr>
        <w:t>and</w:t>
      </w:r>
      <w:r>
        <w:rPr>
          <w:spacing w:val="-2"/>
          <w:sz w:val="24"/>
        </w:rPr>
        <w:t> </w:t>
      </w:r>
      <w:r>
        <w:rPr>
          <w:sz w:val="24"/>
        </w:rPr>
        <w:t>Probable</w:t>
      </w:r>
      <w:r>
        <w:rPr>
          <w:spacing w:val="-1"/>
          <w:sz w:val="24"/>
        </w:rPr>
        <w:t> </w:t>
      </w:r>
      <w:r>
        <w:rPr>
          <w:sz w:val="24"/>
        </w:rPr>
        <w:t>Future</w:t>
      </w:r>
      <w:r>
        <w:rPr>
          <w:spacing w:val="-1"/>
          <w:sz w:val="24"/>
        </w:rPr>
        <w:t> </w:t>
      </w:r>
      <w:r>
        <w:rPr>
          <w:sz w:val="24"/>
        </w:rPr>
        <w:t>Beneficial</w:t>
      </w:r>
      <w:r>
        <w:rPr>
          <w:spacing w:val="-2"/>
          <w:sz w:val="24"/>
        </w:rPr>
        <w:t> </w:t>
      </w:r>
      <w:r>
        <w:rPr>
          <w:sz w:val="24"/>
        </w:rPr>
        <w:t>Uses</w:t>
      </w:r>
      <w:r>
        <w:rPr>
          <w:spacing w:val="-1"/>
          <w:sz w:val="24"/>
        </w:rPr>
        <w:t> </w:t>
      </w:r>
      <w:r>
        <w:rPr>
          <w:sz w:val="24"/>
        </w:rPr>
        <w:t>of</w:t>
      </w:r>
      <w:r>
        <w:rPr>
          <w:spacing w:val="1"/>
          <w:sz w:val="24"/>
        </w:rPr>
        <w:t> </w:t>
      </w:r>
      <w:r>
        <w:rPr>
          <w:sz w:val="24"/>
        </w:rPr>
        <w:t>Water</w:t>
      </w:r>
      <w:r>
        <w:rPr>
          <w:spacing w:val="-11"/>
          <w:sz w:val="24"/>
        </w:rPr>
        <w:t> </w:t>
      </w:r>
      <w:r>
        <w:rPr>
          <w:sz w:val="24"/>
        </w:rPr>
        <w:t>...............</w:t>
      </w:r>
      <w:r>
        <w:rPr>
          <w:spacing w:val="-51"/>
          <w:sz w:val="24"/>
        </w:rPr>
        <w:t> </w:t>
      </w:r>
      <w:r>
        <w:rPr>
          <w:sz w:val="24"/>
        </w:rPr>
        <w:t>F-20</w:t>
      </w:r>
    </w:p>
    <w:p>
      <w:pPr>
        <w:pStyle w:val="ListParagraph"/>
        <w:numPr>
          <w:ilvl w:val="2"/>
          <w:numId w:val="27"/>
        </w:numPr>
        <w:tabs>
          <w:tab w:pos="1600" w:val="left" w:leader="none"/>
        </w:tabs>
        <w:spacing w:line="240" w:lineRule="auto" w:before="0" w:after="0"/>
        <w:ind w:left="755" w:right="1025" w:firstLine="0"/>
        <w:jc w:val="left"/>
        <w:rPr>
          <w:sz w:val="24"/>
        </w:rPr>
      </w:pPr>
      <w:r>
        <w:rPr>
          <w:sz w:val="24"/>
        </w:rPr>
        <w:t>Environmental Characteristics of the Hydrographic Unit Under Consideration,</w:t>
      </w:r>
      <w:r>
        <w:rPr>
          <w:spacing w:val="-3"/>
          <w:sz w:val="24"/>
        </w:rPr>
        <w:t> </w:t>
      </w:r>
      <w:r>
        <w:rPr>
          <w:sz w:val="24"/>
        </w:rPr>
        <w:t>Including</w:t>
      </w:r>
      <w:r>
        <w:rPr>
          <w:spacing w:val="-3"/>
          <w:sz w:val="24"/>
        </w:rPr>
        <w:t> </w:t>
      </w:r>
      <w:r>
        <w:rPr>
          <w:sz w:val="24"/>
        </w:rPr>
        <w:t>the</w:t>
      </w:r>
      <w:r>
        <w:rPr>
          <w:spacing w:val="-3"/>
          <w:sz w:val="24"/>
        </w:rPr>
        <w:t> </w:t>
      </w:r>
      <w:r>
        <w:rPr>
          <w:sz w:val="24"/>
        </w:rPr>
        <w:t>Quality</w:t>
      </w:r>
      <w:r>
        <w:rPr>
          <w:spacing w:val="-3"/>
          <w:sz w:val="24"/>
        </w:rPr>
        <w:t> </w:t>
      </w:r>
      <w:r>
        <w:rPr>
          <w:sz w:val="24"/>
        </w:rPr>
        <w:t>of</w:t>
      </w:r>
      <w:r>
        <w:rPr>
          <w:spacing w:val="-2"/>
          <w:sz w:val="24"/>
        </w:rPr>
        <w:t> </w:t>
      </w:r>
      <w:r>
        <w:rPr>
          <w:sz w:val="24"/>
        </w:rPr>
        <w:t>Water</w:t>
      </w:r>
      <w:r>
        <w:rPr>
          <w:spacing w:val="-3"/>
          <w:sz w:val="24"/>
        </w:rPr>
        <w:t> </w:t>
      </w:r>
      <w:r>
        <w:rPr>
          <w:sz w:val="24"/>
        </w:rPr>
        <w:t>Available</w:t>
      </w:r>
      <w:r>
        <w:rPr>
          <w:spacing w:val="-3"/>
          <w:sz w:val="24"/>
        </w:rPr>
        <w:t> </w:t>
      </w:r>
      <w:r>
        <w:rPr>
          <w:sz w:val="24"/>
        </w:rPr>
        <w:t>Thereto</w:t>
      </w:r>
      <w:r>
        <w:rPr>
          <w:spacing w:val="-12"/>
          <w:sz w:val="24"/>
        </w:rPr>
        <w:t> </w:t>
      </w:r>
      <w:r>
        <w:rPr>
          <w:sz w:val="24"/>
        </w:rPr>
        <w:t>........................</w:t>
      </w:r>
      <w:r>
        <w:rPr>
          <w:spacing w:val="-52"/>
          <w:sz w:val="24"/>
        </w:rPr>
        <w:t> </w:t>
      </w:r>
      <w:r>
        <w:rPr>
          <w:sz w:val="24"/>
        </w:rPr>
        <w:t>F-20</w:t>
      </w:r>
    </w:p>
    <w:p>
      <w:pPr>
        <w:pStyle w:val="ListParagraph"/>
        <w:numPr>
          <w:ilvl w:val="2"/>
          <w:numId w:val="27"/>
        </w:numPr>
        <w:tabs>
          <w:tab w:pos="1600" w:val="left" w:leader="none"/>
          <w:tab w:pos="2040" w:val="left" w:leader="none"/>
        </w:tabs>
        <w:spacing w:line="240" w:lineRule="auto" w:before="0" w:after="0"/>
        <w:ind w:left="755" w:right="1020" w:firstLine="0"/>
        <w:jc w:val="left"/>
        <w:rPr>
          <w:sz w:val="24"/>
        </w:rPr>
      </w:pPr>
      <w:r>
        <w:rPr>
          <w:sz w:val="24"/>
        </w:rPr>
        <w:t>Water Quality Conditions that Could Reasonably be Achieved Through the Coordinated</w:t>
      </w:r>
      <w:r>
        <w:rPr>
          <w:spacing w:val="-3"/>
          <w:sz w:val="24"/>
        </w:rPr>
        <w:t> </w:t>
      </w:r>
      <w:r>
        <w:rPr>
          <w:sz w:val="24"/>
        </w:rPr>
        <w:t>Control</w:t>
      </w:r>
      <w:r>
        <w:rPr>
          <w:spacing w:val="-2"/>
          <w:sz w:val="24"/>
        </w:rPr>
        <w:t> </w:t>
      </w:r>
      <w:r>
        <w:rPr>
          <w:sz w:val="24"/>
        </w:rPr>
        <w:t>of</w:t>
      </w:r>
      <w:r>
        <w:rPr>
          <w:spacing w:val="-2"/>
          <w:sz w:val="24"/>
        </w:rPr>
        <w:t> </w:t>
      </w:r>
      <w:r>
        <w:rPr>
          <w:sz w:val="24"/>
        </w:rPr>
        <w:t>All</w:t>
      </w:r>
      <w:r>
        <w:rPr>
          <w:spacing w:val="-3"/>
          <w:sz w:val="24"/>
        </w:rPr>
        <w:t> </w:t>
      </w:r>
      <w:r>
        <w:rPr>
          <w:sz w:val="24"/>
        </w:rPr>
        <w:t>Factors</w:t>
      </w:r>
      <w:r>
        <w:rPr>
          <w:spacing w:val="-2"/>
          <w:sz w:val="24"/>
        </w:rPr>
        <w:t> </w:t>
      </w:r>
      <w:r>
        <w:rPr>
          <w:sz w:val="24"/>
        </w:rPr>
        <w:t>Which</w:t>
      </w:r>
      <w:r>
        <w:rPr>
          <w:spacing w:val="-1"/>
          <w:sz w:val="24"/>
        </w:rPr>
        <w:t> </w:t>
      </w:r>
      <w:r>
        <w:rPr>
          <w:sz w:val="24"/>
        </w:rPr>
        <w:t>Affect</w:t>
      </w:r>
      <w:r>
        <w:rPr>
          <w:spacing w:val="-3"/>
          <w:sz w:val="24"/>
        </w:rPr>
        <w:t> </w:t>
      </w:r>
      <w:r>
        <w:rPr>
          <w:sz w:val="24"/>
        </w:rPr>
        <w:t>Water</w:t>
      </w:r>
      <w:r>
        <w:rPr>
          <w:spacing w:val="-3"/>
          <w:sz w:val="24"/>
        </w:rPr>
        <w:t> </w:t>
      </w:r>
      <w:r>
        <w:rPr>
          <w:sz w:val="24"/>
        </w:rPr>
        <w:t>Quality</w:t>
      </w:r>
      <w:r>
        <w:rPr>
          <w:spacing w:val="-2"/>
          <w:sz w:val="24"/>
        </w:rPr>
        <w:t> </w:t>
      </w:r>
      <w:r>
        <w:rPr>
          <w:sz w:val="24"/>
        </w:rPr>
        <w:t>in</w:t>
      </w:r>
      <w:r>
        <w:rPr>
          <w:spacing w:val="-2"/>
          <w:sz w:val="24"/>
        </w:rPr>
        <w:t> </w:t>
      </w:r>
      <w:r>
        <w:rPr>
          <w:sz w:val="24"/>
        </w:rPr>
        <w:t>the</w:t>
      </w:r>
      <w:r>
        <w:rPr>
          <w:spacing w:val="-3"/>
          <w:sz w:val="24"/>
        </w:rPr>
        <w:t> </w:t>
      </w:r>
      <w:r>
        <w:rPr>
          <w:sz w:val="24"/>
        </w:rPr>
        <w:t>Area</w:t>
      </w:r>
      <w:r>
        <w:rPr>
          <w:spacing w:val="-15"/>
          <w:sz w:val="24"/>
        </w:rPr>
        <w:t> </w:t>
      </w:r>
      <w:r>
        <w:rPr>
          <w:sz w:val="24"/>
        </w:rPr>
        <w:t>........</w:t>
      </w:r>
      <w:r>
        <w:rPr>
          <w:spacing w:val="-51"/>
          <w:sz w:val="24"/>
        </w:rPr>
        <w:t> </w:t>
      </w:r>
      <w:r>
        <w:rPr>
          <w:sz w:val="24"/>
        </w:rPr>
        <w:t>F-21 3.11.4. Economic Considerations .......................................................................</w:t>
      </w:r>
      <w:r>
        <w:rPr>
          <w:spacing w:val="-63"/>
          <w:sz w:val="24"/>
        </w:rPr>
        <w:t> </w:t>
      </w:r>
      <w:r>
        <w:rPr>
          <w:sz w:val="24"/>
        </w:rPr>
        <w:t>F-22 3.11.4.1.</w:t>
        <w:tab/>
        <w:t>Cost of Compliance..........................................................................</w:t>
      </w:r>
      <w:r>
        <w:rPr>
          <w:spacing w:val="-46"/>
          <w:sz w:val="24"/>
        </w:rPr>
        <w:t> </w:t>
      </w:r>
      <w:r>
        <w:rPr>
          <w:sz w:val="24"/>
        </w:rPr>
        <w:t>F-22</w:t>
      </w:r>
    </w:p>
    <w:p>
      <w:pPr>
        <w:spacing w:after="0" w:line="240" w:lineRule="auto"/>
        <w:jc w:val="left"/>
        <w:rPr>
          <w:sz w:val="24"/>
        </w:rPr>
        <w:sectPr>
          <w:headerReference w:type="default" r:id="rId58"/>
          <w:footerReference w:type="default" r:id="rId59"/>
          <w:pgSz w:w="12240" w:h="15840"/>
          <w:pgMar w:header="728" w:footer="788" w:top="1540" w:bottom="980" w:left="1160" w:right="420"/>
          <w:pgNumType w:start="1"/>
        </w:sectPr>
      </w:pPr>
    </w:p>
    <w:p>
      <w:pPr>
        <w:pStyle w:val="BodyText"/>
        <w:spacing w:before="11"/>
        <w:rPr>
          <w:sz w:val="15"/>
        </w:rPr>
      </w:pPr>
    </w:p>
    <w:p>
      <w:pPr>
        <w:pStyle w:val="BodyText"/>
        <w:tabs>
          <w:tab w:pos="2040" w:val="left" w:leader="none"/>
          <w:tab w:pos="9138" w:val="left" w:leader="dot"/>
        </w:tabs>
        <w:spacing w:before="92"/>
        <w:ind w:left="755"/>
      </w:pPr>
      <w:r>
        <w:rPr/>
        <w:t>3.11.4.2.</w:t>
        <w:tab/>
        <w:t>Cost of not Addressing</w:t>
      </w:r>
      <w:r>
        <w:rPr>
          <w:spacing w:val="-8"/>
        </w:rPr>
        <w:t> </w:t>
      </w:r>
      <w:r>
        <w:rPr/>
        <w:t>CII</w:t>
      </w:r>
      <w:r>
        <w:rPr>
          <w:spacing w:val="-2"/>
        </w:rPr>
        <w:t> </w:t>
      </w:r>
      <w:r>
        <w:rPr/>
        <w:t>Discharges</w:t>
        <w:tab/>
        <w:t>F-27</w:t>
      </w:r>
    </w:p>
    <w:p>
      <w:pPr>
        <w:pStyle w:val="BodyText"/>
        <w:ind w:left="755"/>
      </w:pPr>
      <w:r>
        <w:rPr/>
        <w:t>3.11.5. The Need for Developing Housing Within the Region ............................</w:t>
      </w:r>
      <w:r>
        <w:rPr>
          <w:spacing w:val="-37"/>
        </w:rPr>
        <w:t> </w:t>
      </w:r>
      <w:r>
        <w:rPr/>
        <w:t>F-29</w:t>
      </w:r>
    </w:p>
    <w:p>
      <w:pPr>
        <w:pStyle w:val="BodyText"/>
        <w:tabs>
          <w:tab w:pos="1380" w:val="left" w:leader="none"/>
        </w:tabs>
        <w:ind w:left="524" w:right="1010" w:firstLine="230"/>
      </w:pPr>
      <w:r>
        <w:rPr/>
        <w:t>3.11.6. The Need to Develop and Use Recycled Water ..................................... F-30 3.12.</w:t>
        <w:tab/>
        <w:t>Total Maximum Daily Loads.......................................................................</w:t>
      </w:r>
      <w:r>
        <w:rPr>
          <w:spacing w:val="-50"/>
        </w:rPr>
        <w:t> </w:t>
      </w:r>
      <w:r>
        <w:rPr/>
        <w:t>F-30</w:t>
      </w:r>
    </w:p>
    <w:p>
      <w:pPr>
        <w:pStyle w:val="BodyText"/>
        <w:spacing w:before="60"/>
        <w:ind w:left="755"/>
      </w:pPr>
      <w:r>
        <w:rPr/>
        <w:t>3.12.1. Harbor Bacteria</w:t>
      </w:r>
      <w:r>
        <w:rPr>
          <w:spacing w:val="-10"/>
        </w:rPr>
        <w:t> </w:t>
      </w:r>
      <w:r>
        <w:rPr/>
        <w:t>TMDL............................................................................ F-31</w:t>
      </w:r>
    </w:p>
    <w:p>
      <w:pPr>
        <w:pStyle w:val="BodyText"/>
        <w:ind w:left="755"/>
      </w:pPr>
      <w:r>
        <w:rPr/>
        <w:t>3.12.2. Harbor Toxics TMDL...............................................................................</w:t>
      </w:r>
      <w:r>
        <w:rPr>
          <w:spacing w:val="-24"/>
        </w:rPr>
        <w:t> </w:t>
      </w:r>
      <w:r>
        <w:rPr/>
        <w:t>F-31</w:t>
      </w:r>
    </w:p>
    <w:p>
      <w:pPr>
        <w:pStyle w:val="BodyText"/>
        <w:ind w:left="755"/>
      </w:pPr>
      <w:r>
        <w:rPr/>
        <w:t>3.12.3. Machado Lake Trash TMDL ...................................................................</w:t>
      </w:r>
      <w:r>
        <w:rPr>
          <w:spacing w:val="-48"/>
        </w:rPr>
        <w:t> </w:t>
      </w:r>
      <w:r>
        <w:rPr/>
        <w:t>F-31</w:t>
      </w:r>
    </w:p>
    <w:p>
      <w:pPr>
        <w:pStyle w:val="BodyText"/>
        <w:ind w:left="755" w:right="1022"/>
        <w:jc w:val="both"/>
      </w:pPr>
      <w:r>
        <w:rPr/>
        <w:t>3.12.4. Machado Lake Eutrophic, Algae, Ammonia, and Odors TMDL ..............</w:t>
      </w:r>
      <w:r>
        <w:rPr>
          <w:spacing w:val="-52"/>
        </w:rPr>
        <w:t> </w:t>
      </w:r>
      <w:r>
        <w:rPr/>
        <w:t>F-31 3.12.5.</w:t>
      </w:r>
      <w:r>
        <w:rPr>
          <w:spacing w:val="38"/>
        </w:rPr>
        <w:t> </w:t>
      </w:r>
      <w:r>
        <w:rPr/>
        <w:t>Machado</w:t>
      </w:r>
      <w:r>
        <w:rPr>
          <w:spacing w:val="-4"/>
        </w:rPr>
        <w:t> </w:t>
      </w:r>
      <w:r>
        <w:rPr/>
        <w:t>Lake</w:t>
      </w:r>
      <w:r>
        <w:rPr>
          <w:spacing w:val="-4"/>
        </w:rPr>
        <w:t> </w:t>
      </w:r>
      <w:r>
        <w:rPr/>
        <w:t>Pesticides</w:t>
      </w:r>
      <w:r>
        <w:rPr>
          <w:spacing w:val="-3"/>
        </w:rPr>
        <w:t> </w:t>
      </w:r>
      <w:r>
        <w:rPr/>
        <w:t>and</w:t>
      </w:r>
      <w:r>
        <w:rPr>
          <w:spacing w:val="-4"/>
        </w:rPr>
        <w:t> </w:t>
      </w:r>
      <w:r>
        <w:rPr/>
        <w:t>PCBs</w:t>
      </w:r>
      <w:r>
        <w:rPr>
          <w:spacing w:val="-4"/>
        </w:rPr>
        <w:t> </w:t>
      </w:r>
      <w:r>
        <w:rPr/>
        <w:t>TMDL</w:t>
      </w:r>
      <w:r>
        <w:rPr>
          <w:spacing w:val="-39"/>
        </w:rPr>
        <w:t> </w:t>
      </w:r>
      <w:r>
        <w:rPr/>
        <w:t>...........................................</w:t>
      </w:r>
      <w:r>
        <w:rPr>
          <w:spacing w:val="-52"/>
        </w:rPr>
        <w:t> </w:t>
      </w:r>
      <w:r>
        <w:rPr/>
        <w:t>F-32 3.12.6. Los Cerritos Channel Metals TMDL........................................................ F-32 3.12.7. Los Cerritos Channel Bacteria TMDL .....................................................</w:t>
      </w:r>
      <w:r>
        <w:rPr>
          <w:spacing w:val="-56"/>
        </w:rPr>
        <w:t> </w:t>
      </w:r>
      <w:r>
        <w:rPr/>
        <w:t>F-32</w:t>
      </w:r>
    </w:p>
    <w:p>
      <w:pPr>
        <w:pStyle w:val="BodyText"/>
        <w:tabs>
          <w:tab w:pos="1380" w:val="left" w:leader="none"/>
        </w:tabs>
        <w:ind w:left="524" w:right="1013" w:firstLine="230"/>
        <w:jc w:val="right"/>
      </w:pPr>
      <w:r>
        <w:rPr/>
        <w:t>3.12.8. Colorado Lagoon Organochlorine Pesticides, PCBs, Sediment</w:t>
      </w:r>
      <w:r>
        <w:rPr>
          <w:spacing w:val="-3"/>
        </w:rPr>
        <w:t> </w:t>
      </w:r>
      <w:r>
        <w:rPr/>
        <w:t>Toxicity,</w:t>
      </w:r>
      <w:r>
        <w:rPr>
          <w:spacing w:val="-6"/>
        </w:rPr>
        <w:t> </w:t>
      </w:r>
      <w:r>
        <w:rPr/>
        <w:t>and</w:t>
      </w:r>
      <w:r>
        <w:rPr>
          <w:spacing w:val="-1"/>
        </w:rPr>
        <w:t> </w:t>
      </w:r>
      <w:r>
        <w:rPr/>
        <w:t>Metals TMDL</w:t>
      </w:r>
      <w:r>
        <w:rPr>
          <w:spacing w:val="-51"/>
        </w:rPr>
        <w:t> </w:t>
      </w:r>
      <w:r>
        <w:rPr/>
        <w:t>.......................................................................................................</w:t>
      </w:r>
      <w:r>
        <w:rPr>
          <w:spacing w:val="-51"/>
        </w:rPr>
        <w:t> </w:t>
      </w:r>
      <w:r>
        <w:rPr/>
        <w:t>F-32 3.13.</w:t>
        <w:tab/>
        <w:t>Endangered</w:t>
      </w:r>
      <w:r>
        <w:rPr>
          <w:spacing w:val="-5"/>
        </w:rPr>
        <w:t> </w:t>
      </w:r>
      <w:r>
        <w:rPr/>
        <w:t>Species</w:t>
      </w:r>
      <w:r>
        <w:rPr>
          <w:spacing w:val="-5"/>
        </w:rPr>
        <w:t> </w:t>
      </w:r>
      <w:r>
        <w:rPr/>
        <w:t>Act</w:t>
      </w:r>
      <w:r>
        <w:rPr>
          <w:spacing w:val="-6"/>
        </w:rPr>
        <w:t> </w:t>
      </w:r>
      <w:r>
        <w:rPr/>
        <w:t>Requirements</w:t>
      </w:r>
      <w:r>
        <w:rPr>
          <w:spacing w:val="-27"/>
        </w:rPr>
        <w:t> </w:t>
      </w:r>
      <w:r>
        <w:rPr/>
        <w:t>....................................................</w:t>
      </w:r>
      <w:r>
        <w:rPr>
          <w:spacing w:val="-43"/>
        </w:rPr>
        <w:t> </w:t>
      </w:r>
      <w:r>
        <w:rPr/>
        <w:t>F-33</w:t>
      </w:r>
    </w:p>
    <w:p>
      <w:pPr>
        <w:pStyle w:val="BodyText"/>
        <w:tabs>
          <w:tab w:pos="855" w:val="left" w:leader="none"/>
        </w:tabs>
        <w:spacing w:before="61"/>
        <w:ind w:right="1011"/>
        <w:jc w:val="right"/>
      </w:pPr>
      <w:r>
        <w:rPr/>
        <w:t>3.14.</w:t>
        <w:tab/>
        <w:t>NPDES</w:t>
      </w:r>
      <w:r>
        <w:rPr>
          <w:spacing w:val="-7"/>
        </w:rPr>
        <w:t> </w:t>
      </w:r>
      <w:r>
        <w:rPr/>
        <w:t>Electronic</w:t>
      </w:r>
      <w:r>
        <w:rPr>
          <w:spacing w:val="-6"/>
        </w:rPr>
        <w:t> </w:t>
      </w:r>
      <w:r>
        <w:rPr/>
        <w:t>Reporting</w:t>
      </w:r>
      <w:r>
        <w:rPr>
          <w:spacing w:val="-6"/>
        </w:rPr>
        <w:t> </w:t>
      </w:r>
      <w:r>
        <w:rPr/>
        <w:t>Rule</w:t>
      </w:r>
      <w:r>
        <w:rPr>
          <w:spacing w:val="-40"/>
        </w:rPr>
        <w:t> </w:t>
      </w:r>
      <w:r>
        <w:rPr/>
        <w:t>.............................................................</w:t>
      </w:r>
      <w:r>
        <w:rPr>
          <w:spacing w:val="-43"/>
        </w:rPr>
        <w:t> </w:t>
      </w:r>
      <w:r>
        <w:rPr/>
        <w:t>F-33</w:t>
      </w:r>
    </w:p>
    <w:p>
      <w:pPr>
        <w:pStyle w:val="BodyText"/>
        <w:spacing w:line="292" w:lineRule="auto" w:before="60"/>
        <w:ind w:left="524" w:right="1010"/>
        <w:jc w:val="both"/>
      </w:pPr>
      <w:r>
        <w:rPr/>
        <w:t>3.15. Advancing Measures to Mitigate and Adapt to Climate Change ................</w:t>
      </w:r>
      <w:r>
        <w:rPr>
          <w:spacing w:val="-56"/>
        </w:rPr>
        <w:t> </w:t>
      </w:r>
      <w:r>
        <w:rPr/>
        <w:t>F-33 3.16. Advancing Racial Equity ............................................................................ F-34 3.17. Other Plans, Policies and Regulations</w:t>
      </w:r>
      <w:r>
        <w:rPr>
          <w:spacing w:val="-60"/>
        </w:rPr>
        <w:t> </w:t>
      </w:r>
      <w:r>
        <w:rPr/>
        <w:t>....................................................... F-34</w:t>
      </w:r>
    </w:p>
    <w:p>
      <w:pPr>
        <w:pStyle w:val="BodyText"/>
        <w:tabs>
          <w:tab w:pos="819" w:val="left" w:leader="none"/>
        </w:tabs>
        <w:spacing w:line="292" w:lineRule="auto"/>
        <w:ind w:left="524" w:right="1010" w:hanging="245"/>
        <w:jc w:val="right"/>
      </w:pPr>
      <w:r>
        <w:rPr/>
        <w:t>4.</w:t>
        <w:tab/>
        <w:tab/>
        <w:t>Rationale for Requirements in this General Permit</w:t>
      </w:r>
      <w:r>
        <w:rPr>
          <w:spacing w:val="-39"/>
        </w:rPr>
        <w:t> </w:t>
      </w:r>
      <w:r>
        <w:rPr/>
        <w:t>............................................</w:t>
      </w:r>
      <w:r>
        <w:rPr>
          <w:spacing w:val="-42"/>
        </w:rPr>
        <w:t> </w:t>
      </w:r>
      <w:r>
        <w:rPr/>
        <w:t>F-34 4.1.</w:t>
      </w:r>
      <w:r>
        <w:rPr>
          <w:spacing w:val="5"/>
        </w:rPr>
        <w:t> </w:t>
      </w:r>
      <w:r>
        <w:rPr/>
        <w:t>General</w:t>
      </w:r>
      <w:r>
        <w:rPr>
          <w:spacing w:val="-3"/>
        </w:rPr>
        <w:t> </w:t>
      </w:r>
      <w:r>
        <w:rPr/>
        <w:t>Permit</w:t>
      </w:r>
      <w:r>
        <w:rPr>
          <w:spacing w:val="-4"/>
        </w:rPr>
        <w:t> </w:t>
      </w:r>
      <w:r>
        <w:rPr/>
        <w:t>Issuance</w:t>
      </w:r>
      <w:r>
        <w:rPr>
          <w:spacing w:val="-32"/>
        </w:rPr>
        <w:t> </w:t>
      </w:r>
      <w:r>
        <w:rPr/>
        <w:t>.................................................................................</w:t>
      </w:r>
      <w:r>
        <w:rPr>
          <w:spacing w:val="-41"/>
        </w:rPr>
        <w:t> </w:t>
      </w:r>
      <w:r>
        <w:rPr/>
        <w:t>F-34</w:t>
      </w:r>
    </w:p>
    <w:p>
      <w:pPr>
        <w:pStyle w:val="BodyText"/>
        <w:spacing w:line="275" w:lineRule="exact"/>
        <w:ind w:left="524" w:right="1013"/>
        <w:jc w:val="right"/>
      </w:pPr>
      <w:r>
        <w:rPr/>
        <w:t>4.2. General Permit Coverage Requirements.........................................................</w:t>
      </w:r>
      <w:r>
        <w:rPr>
          <w:spacing w:val="-40"/>
        </w:rPr>
        <w:t> </w:t>
      </w:r>
      <w:r>
        <w:rPr/>
        <w:t>F-35</w:t>
      </w:r>
    </w:p>
    <w:p>
      <w:pPr>
        <w:pStyle w:val="BodyText"/>
        <w:tabs>
          <w:tab w:pos="844" w:val="left" w:leader="none"/>
        </w:tabs>
        <w:spacing w:before="56"/>
        <w:ind w:right="1022"/>
        <w:jc w:val="right"/>
      </w:pPr>
      <w:r>
        <w:rPr/>
        <w:t>4.2.1.</w:t>
        <w:tab/>
        <w:t>Obtaining</w:t>
      </w:r>
      <w:r>
        <w:rPr>
          <w:spacing w:val="-4"/>
        </w:rPr>
        <w:t> </w:t>
      </w:r>
      <w:r>
        <w:rPr/>
        <w:t>General</w:t>
      </w:r>
      <w:r>
        <w:rPr>
          <w:spacing w:val="-3"/>
        </w:rPr>
        <w:t> </w:t>
      </w:r>
      <w:r>
        <w:rPr/>
        <w:t>Permit</w:t>
      </w:r>
      <w:r>
        <w:rPr>
          <w:spacing w:val="-4"/>
        </w:rPr>
        <w:t> </w:t>
      </w:r>
      <w:r>
        <w:rPr/>
        <w:t>Coverage.......................................................</w:t>
      </w:r>
      <w:r>
        <w:rPr>
          <w:spacing w:val="-52"/>
        </w:rPr>
        <w:t> </w:t>
      </w:r>
      <w:r>
        <w:rPr/>
        <w:t>F-35</w:t>
      </w:r>
    </w:p>
    <w:p>
      <w:pPr>
        <w:pStyle w:val="BodyText"/>
        <w:tabs>
          <w:tab w:pos="844" w:val="left" w:leader="none"/>
        </w:tabs>
        <w:ind w:right="1027"/>
        <w:jc w:val="right"/>
      </w:pPr>
      <w:r>
        <w:rPr/>
        <w:t>4.2.2.</w:t>
        <w:tab/>
        <w:t>Changes to General Permit</w:t>
      </w:r>
      <w:r>
        <w:rPr>
          <w:spacing w:val="7"/>
        </w:rPr>
        <w:t> </w:t>
      </w:r>
      <w:r>
        <w:rPr/>
        <w:t>Coverage....................................................F-36</w:t>
      </w:r>
    </w:p>
    <w:p>
      <w:pPr>
        <w:pStyle w:val="BodyText"/>
        <w:ind w:left="524" w:right="1009"/>
        <w:jc w:val="right"/>
      </w:pPr>
      <w:r>
        <w:rPr/>
        <w:t>4.3. Discharge Prohibitions.....................................................................................</w:t>
      </w:r>
      <w:r>
        <w:rPr>
          <w:spacing w:val="-41"/>
        </w:rPr>
        <w:t> </w:t>
      </w:r>
      <w:r>
        <w:rPr/>
        <w:t>F-36</w:t>
      </w:r>
    </w:p>
    <w:p>
      <w:pPr>
        <w:pStyle w:val="BodyText"/>
        <w:spacing w:before="60"/>
        <w:ind w:left="524" w:right="1010"/>
        <w:jc w:val="right"/>
      </w:pPr>
      <w:r>
        <w:rPr/>
        <w:t>4.4. Non-Stormwater Discharges............................................................................</w:t>
      </w:r>
      <w:r>
        <w:rPr>
          <w:spacing w:val="-56"/>
        </w:rPr>
        <w:t> </w:t>
      </w:r>
      <w:r>
        <w:rPr/>
        <w:t>F-36</w:t>
      </w:r>
    </w:p>
    <w:p>
      <w:pPr>
        <w:pStyle w:val="BodyText"/>
        <w:tabs>
          <w:tab w:pos="1369" w:val="left" w:leader="none"/>
        </w:tabs>
        <w:spacing w:line="292" w:lineRule="auto" w:before="60"/>
        <w:ind w:left="524" w:right="1008"/>
        <w:jc w:val="right"/>
      </w:pPr>
      <w:r>
        <w:rPr/>
        <w:t>4.5.</w:t>
      </w:r>
      <w:r>
        <w:rPr>
          <w:spacing w:val="1"/>
        </w:rPr>
        <w:t> </w:t>
      </w:r>
      <w:r>
        <w:rPr/>
        <w:t>Requirements</w:t>
      </w:r>
      <w:r>
        <w:rPr>
          <w:spacing w:val="-5"/>
        </w:rPr>
        <w:t> </w:t>
      </w:r>
      <w:r>
        <w:rPr/>
        <w:t>for</w:t>
      </w:r>
      <w:r>
        <w:rPr>
          <w:spacing w:val="-6"/>
        </w:rPr>
        <w:t> </w:t>
      </w:r>
      <w:r>
        <w:rPr/>
        <w:t>Stormwater</w:t>
      </w:r>
      <w:r>
        <w:rPr>
          <w:spacing w:val="-6"/>
        </w:rPr>
        <w:t> </w:t>
      </w:r>
      <w:r>
        <w:rPr/>
        <w:t>Pollution</w:t>
      </w:r>
      <w:r>
        <w:rPr>
          <w:spacing w:val="-5"/>
        </w:rPr>
        <w:t> </w:t>
      </w:r>
      <w:r>
        <w:rPr/>
        <w:t>Prevention</w:t>
      </w:r>
      <w:r>
        <w:rPr>
          <w:spacing w:val="-6"/>
        </w:rPr>
        <w:t> </w:t>
      </w:r>
      <w:r>
        <w:rPr/>
        <w:t>Plans</w:t>
      </w:r>
      <w:r>
        <w:rPr>
          <w:spacing w:val="-33"/>
        </w:rPr>
        <w:t> </w:t>
      </w:r>
      <w:r>
        <w:rPr/>
        <w:t>...............................</w:t>
      </w:r>
      <w:r>
        <w:rPr>
          <w:spacing w:val="-43"/>
        </w:rPr>
        <w:t> </w:t>
      </w:r>
      <w:r>
        <w:rPr/>
        <w:t>F-36 4.6. Effluent Limitations</w:t>
      </w:r>
      <w:r>
        <w:rPr>
          <w:spacing w:val="-21"/>
        </w:rPr>
        <w:t> </w:t>
      </w:r>
      <w:r>
        <w:rPr/>
        <w:t>..........................................................................................</w:t>
      </w:r>
      <w:r>
        <w:rPr>
          <w:spacing w:val="-42"/>
        </w:rPr>
        <w:t> </w:t>
      </w:r>
      <w:r>
        <w:rPr/>
        <w:t>F-37 4.6.1.</w:t>
        <w:tab/>
        <w:t>Authority</w:t>
      </w:r>
      <w:r>
        <w:rPr>
          <w:spacing w:val="-16"/>
        </w:rPr>
        <w:t> </w:t>
      </w:r>
      <w:r>
        <w:rPr/>
        <w:t>.................................................................................................</w:t>
      </w:r>
      <w:r>
        <w:rPr>
          <w:spacing w:val="-52"/>
        </w:rPr>
        <w:t> </w:t>
      </w:r>
      <w:r>
        <w:rPr/>
        <w:t>F-37</w:t>
      </w:r>
    </w:p>
    <w:p>
      <w:pPr>
        <w:pStyle w:val="ListParagraph"/>
        <w:numPr>
          <w:ilvl w:val="2"/>
          <w:numId w:val="28"/>
        </w:numPr>
        <w:tabs>
          <w:tab w:pos="844" w:val="left" w:leader="none"/>
          <w:tab w:pos="845" w:val="left" w:leader="none"/>
        </w:tabs>
        <w:spacing w:line="214" w:lineRule="exact" w:before="0" w:after="0"/>
        <w:ind w:left="1600" w:right="1023" w:hanging="1600"/>
        <w:jc w:val="right"/>
        <w:rPr>
          <w:sz w:val="24"/>
        </w:rPr>
      </w:pPr>
      <w:r>
        <w:rPr>
          <w:sz w:val="24"/>
        </w:rPr>
        <w:t>Basis</w:t>
      </w:r>
      <w:r>
        <w:rPr>
          <w:spacing w:val="-5"/>
          <w:sz w:val="24"/>
        </w:rPr>
        <w:t> </w:t>
      </w:r>
      <w:r>
        <w:rPr>
          <w:sz w:val="24"/>
        </w:rPr>
        <w:t>for</w:t>
      </w:r>
      <w:r>
        <w:rPr>
          <w:spacing w:val="-4"/>
          <w:sz w:val="24"/>
        </w:rPr>
        <w:t> </w:t>
      </w:r>
      <w:r>
        <w:rPr>
          <w:sz w:val="24"/>
        </w:rPr>
        <w:t>Technology-Based</w:t>
      </w:r>
      <w:r>
        <w:rPr>
          <w:spacing w:val="-5"/>
          <w:sz w:val="24"/>
        </w:rPr>
        <w:t> </w:t>
      </w:r>
      <w:r>
        <w:rPr>
          <w:sz w:val="24"/>
        </w:rPr>
        <w:t>Effluent</w:t>
      </w:r>
      <w:r>
        <w:rPr>
          <w:spacing w:val="-4"/>
          <w:sz w:val="24"/>
        </w:rPr>
        <w:t> </w:t>
      </w:r>
      <w:r>
        <w:rPr>
          <w:sz w:val="24"/>
        </w:rPr>
        <w:t>Limitations....................................</w:t>
      </w:r>
      <w:r>
        <w:rPr>
          <w:spacing w:val="-52"/>
          <w:sz w:val="24"/>
        </w:rPr>
        <w:t> </w:t>
      </w:r>
      <w:r>
        <w:rPr>
          <w:sz w:val="24"/>
        </w:rPr>
        <w:t>F-37</w:t>
      </w:r>
    </w:p>
    <w:p>
      <w:pPr>
        <w:pStyle w:val="ListParagraph"/>
        <w:numPr>
          <w:ilvl w:val="2"/>
          <w:numId w:val="28"/>
        </w:numPr>
        <w:tabs>
          <w:tab w:pos="1599" w:val="left" w:leader="none"/>
          <w:tab w:pos="1600" w:val="left" w:leader="none"/>
          <w:tab w:pos="2040" w:val="left" w:leader="none"/>
        </w:tabs>
        <w:spacing w:line="240" w:lineRule="auto" w:before="0" w:after="0"/>
        <w:ind w:left="1000" w:right="1023" w:hanging="245"/>
        <w:jc w:val="right"/>
        <w:rPr>
          <w:sz w:val="24"/>
        </w:rPr>
      </w:pPr>
      <w:r>
        <w:rPr>
          <w:sz w:val="24"/>
        </w:rPr>
        <w:t>Basis for Water Quality Based Effluent</w:t>
      </w:r>
      <w:r>
        <w:rPr>
          <w:spacing w:val="-13"/>
          <w:sz w:val="24"/>
        </w:rPr>
        <w:t> </w:t>
      </w:r>
      <w:r>
        <w:rPr>
          <w:sz w:val="24"/>
        </w:rPr>
        <w:t>Limitations.................................</w:t>
      </w:r>
      <w:r>
        <w:rPr>
          <w:spacing w:val="-51"/>
          <w:sz w:val="24"/>
        </w:rPr>
        <w:t> </w:t>
      </w:r>
      <w:r>
        <w:rPr>
          <w:sz w:val="24"/>
        </w:rPr>
        <w:t>F-39 4.6.3.1.</w:t>
        <w:tab/>
        <w:t>Pollutants in TMDLs and WLA Translation.......................................</w:t>
      </w:r>
      <w:r>
        <w:rPr>
          <w:spacing w:val="-61"/>
          <w:sz w:val="24"/>
        </w:rPr>
        <w:t> </w:t>
      </w:r>
      <w:r>
        <w:rPr>
          <w:sz w:val="24"/>
        </w:rPr>
        <w:t>F-40</w:t>
      </w:r>
    </w:p>
    <w:p>
      <w:pPr>
        <w:pStyle w:val="BodyText"/>
        <w:tabs>
          <w:tab w:pos="1040" w:val="left" w:leader="none"/>
        </w:tabs>
        <w:spacing w:before="101"/>
        <w:ind w:right="1023"/>
        <w:jc w:val="right"/>
      </w:pPr>
      <w:r>
        <w:rPr/>
        <w:t>4.6.3.2.</w:t>
        <w:tab/>
        <w:t>Pollutants</w:t>
      </w:r>
      <w:r>
        <w:rPr>
          <w:spacing w:val="-7"/>
        </w:rPr>
        <w:t> </w:t>
      </w:r>
      <w:r>
        <w:rPr/>
        <w:t>in</w:t>
      </w:r>
      <w:r>
        <w:rPr>
          <w:spacing w:val="-6"/>
        </w:rPr>
        <w:t> </w:t>
      </w:r>
      <w:r>
        <w:rPr/>
        <w:t>303(d)</w:t>
      </w:r>
      <w:r>
        <w:rPr>
          <w:spacing w:val="-6"/>
        </w:rPr>
        <w:t> </w:t>
      </w:r>
      <w:r>
        <w:rPr/>
        <w:t>Listed</w:t>
      </w:r>
      <w:r>
        <w:rPr>
          <w:spacing w:val="-6"/>
        </w:rPr>
        <w:t> </w:t>
      </w:r>
      <w:r>
        <w:rPr/>
        <w:t>Waterbodies...........................................</w:t>
      </w:r>
      <w:r>
        <w:rPr>
          <w:spacing w:val="-52"/>
        </w:rPr>
        <w:t> </w:t>
      </w:r>
      <w:r>
        <w:rPr/>
        <w:t>F-45</w:t>
      </w:r>
    </w:p>
    <w:p>
      <w:pPr>
        <w:pStyle w:val="BodyText"/>
        <w:spacing w:line="292" w:lineRule="auto" w:before="100"/>
        <w:ind w:left="524" w:right="1010"/>
        <w:jc w:val="right"/>
      </w:pPr>
      <w:r>
        <w:rPr/>
        <w:t>4.7. Stringency of Requirements for Individual Pollutants</w:t>
      </w:r>
      <w:r>
        <w:rPr>
          <w:spacing w:val="-36"/>
        </w:rPr>
        <w:t> </w:t>
      </w:r>
      <w:r>
        <w:rPr/>
        <w:t>......................................</w:t>
      </w:r>
      <w:r>
        <w:rPr>
          <w:spacing w:val="-43"/>
        </w:rPr>
        <w:t> </w:t>
      </w:r>
      <w:r>
        <w:rPr/>
        <w:t>F-46 4.8.</w:t>
      </w:r>
      <w:r>
        <w:rPr>
          <w:spacing w:val="1"/>
        </w:rPr>
        <w:t> </w:t>
      </w:r>
      <w:r>
        <w:rPr/>
        <w:t>Antidegradation</w:t>
      </w:r>
      <w:r>
        <w:rPr>
          <w:spacing w:val="-6"/>
        </w:rPr>
        <w:t> </w:t>
      </w:r>
      <w:r>
        <w:rPr/>
        <w:t>Analysis</w:t>
      </w:r>
      <w:r>
        <w:rPr>
          <w:spacing w:val="-33"/>
        </w:rPr>
        <w:t> </w:t>
      </w:r>
      <w:r>
        <w:rPr/>
        <w:t>.................................................................................</w:t>
      </w:r>
      <w:r>
        <w:rPr>
          <w:spacing w:val="-43"/>
        </w:rPr>
        <w:t> </w:t>
      </w:r>
      <w:r>
        <w:rPr/>
        <w:t>F-47</w:t>
      </w:r>
    </w:p>
    <w:p>
      <w:pPr>
        <w:pStyle w:val="ListParagraph"/>
        <w:numPr>
          <w:ilvl w:val="1"/>
          <w:numId w:val="29"/>
        </w:numPr>
        <w:tabs>
          <w:tab w:pos="476" w:val="left" w:leader="none"/>
        </w:tabs>
        <w:spacing w:line="275" w:lineRule="exact" w:before="0" w:after="0"/>
        <w:ind w:left="1000" w:right="1015" w:hanging="1000"/>
        <w:jc w:val="right"/>
        <w:rPr>
          <w:sz w:val="24"/>
        </w:rPr>
      </w:pPr>
      <w:r>
        <w:rPr>
          <w:sz w:val="24"/>
        </w:rPr>
        <w:t>Compliance</w:t>
      </w:r>
      <w:r>
        <w:rPr>
          <w:spacing w:val="-5"/>
          <w:sz w:val="24"/>
        </w:rPr>
        <w:t> </w:t>
      </w:r>
      <w:r>
        <w:rPr>
          <w:sz w:val="24"/>
        </w:rPr>
        <w:t>Options</w:t>
      </w:r>
      <w:r>
        <w:rPr>
          <w:spacing w:val="-5"/>
          <w:sz w:val="24"/>
        </w:rPr>
        <w:t> </w:t>
      </w:r>
      <w:r>
        <w:rPr>
          <w:sz w:val="24"/>
        </w:rPr>
        <w:t>for</w:t>
      </w:r>
      <w:r>
        <w:rPr>
          <w:spacing w:val="-5"/>
          <w:sz w:val="24"/>
        </w:rPr>
        <w:t> </w:t>
      </w:r>
      <w:r>
        <w:rPr>
          <w:sz w:val="24"/>
        </w:rPr>
        <w:t>Water</w:t>
      </w:r>
      <w:r>
        <w:rPr>
          <w:spacing w:val="-6"/>
          <w:sz w:val="24"/>
        </w:rPr>
        <w:t> </w:t>
      </w:r>
      <w:r>
        <w:rPr>
          <w:sz w:val="24"/>
        </w:rPr>
        <w:t>Quality</w:t>
      </w:r>
      <w:r>
        <w:rPr>
          <w:spacing w:val="-5"/>
          <w:sz w:val="24"/>
        </w:rPr>
        <w:t> </w:t>
      </w:r>
      <w:r>
        <w:rPr>
          <w:sz w:val="24"/>
        </w:rPr>
        <w:t>Based</w:t>
      </w:r>
      <w:r>
        <w:rPr>
          <w:spacing w:val="-5"/>
          <w:sz w:val="24"/>
        </w:rPr>
        <w:t> </w:t>
      </w:r>
      <w:r>
        <w:rPr>
          <w:sz w:val="24"/>
        </w:rPr>
        <w:t>Effluent</w:t>
      </w:r>
      <w:r>
        <w:rPr>
          <w:spacing w:val="-5"/>
          <w:sz w:val="24"/>
        </w:rPr>
        <w:t> </w:t>
      </w:r>
      <w:r>
        <w:rPr>
          <w:sz w:val="24"/>
        </w:rPr>
        <w:t>Limitations</w:t>
      </w:r>
      <w:r>
        <w:rPr>
          <w:spacing w:val="-28"/>
          <w:sz w:val="24"/>
        </w:rPr>
        <w:t> </w:t>
      </w:r>
      <w:r>
        <w:rPr>
          <w:sz w:val="24"/>
        </w:rPr>
        <w:t>..................</w:t>
      </w:r>
      <w:r>
        <w:rPr>
          <w:spacing w:val="-43"/>
          <w:sz w:val="24"/>
        </w:rPr>
        <w:t> </w:t>
      </w:r>
      <w:r>
        <w:rPr>
          <w:sz w:val="24"/>
        </w:rPr>
        <w:t>F-53</w:t>
      </w:r>
    </w:p>
    <w:p>
      <w:pPr>
        <w:pStyle w:val="ListParagraph"/>
        <w:numPr>
          <w:ilvl w:val="2"/>
          <w:numId w:val="29"/>
        </w:numPr>
        <w:tabs>
          <w:tab w:pos="1599" w:val="left" w:leader="none"/>
          <w:tab w:pos="1600" w:val="left" w:leader="none"/>
        </w:tabs>
        <w:spacing w:line="240" w:lineRule="auto" w:before="60" w:after="0"/>
        <w:ind w:left="755" w:right="1020" w:firstLine="0"/>
        <w:jc w:val="left"/>
        <w:rPr>
          <w:sz w:val="24"/>
        </w:rPr>
      </w:pPr>
      <w:r>
        <w:rPr>
          <w:sz w:val="24"/>
        </w:rPr>
        <w:t>Compliance Option 1 – Agreement with Local Watershed Management Group</w:t>
      </w:r>
      <w:r>
        <w:rPr>
          <w:spacing w:val="-3"/>
          <w:sz w:val="24"/>
        </w:rPr>
        <w:t> </w:t>
      </w:r>
      <w:r>
        <w:rPr>
          <w:sz w:val="24"/>
        </w:rPr>
        <w:t>to</w:t>
      </w:r>
      <w:r>
        <w:rPr>
          <w:spacing w:val="-3"/>
          <w:sz w:val="24"/>
        </w:rPr>
        <w:t> </w:t>
      </w:r>
      <w:r>
        <w:rPr>
          <w:sz w:val="24"/>
        </w:rPr>
        <w:t>Fund</w:t>
      </w:r>
      <w:r>
        <w:rPr>
          <w:spacing w:val="-3"/>
          <w:sz w:val="24"/>
        </w:rPr>
        <w:t> </w:t>
      </w:r>
      <w:r>
        <w:rPr>
          <w:sz w:val="24"/>
        </w:rPr>
        <w:t>Regional</w:t>
      </w:r>
      <w:r>
        <w:rPr>
          <w:spacing w:val="-3"/>
          <w:sz w:val="24"/>
        </w:rPr>
        <w:t> </w:t>
      </w:r>
      <w:r>
        <w:rPr>
          <w:sz w:val="24"/>
        </w:rPr>
        <w:t>Project</w:t>
      </w:r>
      <w:r>
        <w:rPr>
          <w:spacing w:val="-48"/>
          <w:sz w:val="24"/>
        </w:rPr>
        <w:t> </w:t>
      </w:r>
      <w:r>
        <w:rPr>
          <w:sz w:val="24"/>
        </w:rPr>
        <w:t>..........................................................................</w:t>
      </w:r>
      <w:r>
        <w:rPr>
          <w:spacing w:val="-52"/>
          <w:sz w:val="24"/>
        </w:rPr>
        <w:t> </w:t>
      </w:r>
      <w:r>
        <w:rPr>
          <w:sz w:val="24"/>
        </w:rPr>
        <w:t>F-53</w:t>
      </w:r>
    </w:p>
    <w:p>
      <w:pPr>
        <w:pStyle w:val="ListParagraph"/>
        <w:numPr>
          <w:ilvl w:val="2"/>
          <w:numId w:val="29"/>
        </w:numPr>
        <w:tabs>
          <w:tab w:pos="1599" w:val="left" w:leader="none"/>
          <w:tab w:pos="1600" w:val="left" w:leader="none"/>
        </w:tabs>
        <w:spacing w:line="240" w:lineRule="auto" w:before="0" w:after="0"/>
        <w:ind w:left="755" w:right="1018" w:firstLine="0"/>
        <w:jc w:val="left"/>
        <w:rPr>
          <w:sz w:val="24"/>
        </w:rPr>
      </w:pPr>
      <w:r>
        <w:rPr>
          <w:sz w:val="24"/>
        </w:rPr>
        <w:t>Compliance Option 2 – Facility-Specific Design Standard to Reduce Stormwater</w:t>
      </w:r>
      <w:r>
        <w:rPr>
          <w:spacing w:val="-1"/>
          <w:sz w:val="24"/>
        </w:rPr>
        <w:t> </w:t>
      </w:r>
      <w:r>
        <w:rPr>
          <w:sz w:val="24"/>
        </w:rPr>
        <w:t>Runoff</w:t>
      </w:r>
      <w:r>
        <w:rPr>
          <w:spacing w:val="-18"/>
          <w:sz w:val="24"/>
        </w:rPr>
        <w:t> </w:t>
      </w:r>
      <w:r>
        <w:rPr>
          <w:sz w:val="24"/>
        </w:rPr>
        <w:t>..............................................................................................</w:t>
      </w:r>
      <w:r>
        <w:rPr>
          <w:spacing w:val="-51"/>
          <w:sz w:val="24"/>
        </w:rPr>
        <w:t> </w:t>
      </w:r>
      <w:r>
        <w:rPr>
          <w:sz w:val="24"/>
        </w:rPr>
        <w:t>F-54</w:t>
      </w:r>
    </w:p>
    <w:p>
      <w:pPr>
        <w:pStyle w:val="ListParagraph"/>
        <w:numPr>
          <w:ilvl w:val="2"/>
          <w:numId w:val="29"/>
        </w:numPr>
        <w:tabs>
          <w:tab w:pos="1599" w:val="left" w:leader="none"/>
          <w:tab w:pos="1600" w:val="left" w:leader="none"/>
        </w:tabs>
        <w:spacing w:line="240" w:lineRule="auto" w:before="0" w:after="0"/>
        <w:ind w:left="755" w:right="1018" w:firstLine="0"/>
        <w:jc w:val="left"/>
        <w:rPr>
          <w:sz w:val="24"/>
        </w:rPr>
      </w:pPr>
      <w:r>
        <w:rPr>
          <w:sz w:val="24"/>
        </w:rPr>
        <w:t>Compliance Option 3 – Direct Demonstration of Compliance with Effluent Limitations</w:t>
      </w:r>
      <w:r>
        <w:rPr>
          <w:spacing w:val="-39"/>
          <w:sz w:val="24"/>
        </w:rPr>
        <w:t> </w:t>
      </w:r>
      <w:r>
        <w:rPr>
          <w:sz w:val="24"/>
        </w:rPr>
        <w:t>...........................................................................................................</w:t>
      </w:r>
      <w:r>
        <w:rPr>
          <w:spacing w:val="-52"/>
          <w:sz w:val="24"/>
        </w:rPr>
        <w:t> </w:t>
      </w:r>
      <w:r>
        <w:rPr>
          <w:sz w:val="24"/>
        </w:rPr>
        <w:t>F-56</w:t>
      </w:r>
    </w:p>
    <w:p>
      <w:pPr>
        <w:spacing w:after="0" w:line="240" w:lineRule="auto"/>
        <w:jc w:val="left"/>
        <w:rPr>
          <w:sz w:val="24"/>
        </w:rPr>
        <w:sectPr>
          <w:pgSz w:w="12240" w:h="15840"/>
          <w:pgMar w:header="728" w:footer="788" w:top="1540" w:bottom="980" w:left="1160" w:right="420"/>
        </w:sectPr>
      </w:pPr>
    </w:p>
    <w:p>
      <w:pPr>
        <w:pStyle w:val="BodyText"/>
        <w:spacing w:before="11"/>
        <w:rPr>
          <w:sz w:val="15"/>
        </w:rPr>
      </w:pPr>
    </w:p>
    <w:p>
      <w:pPr>
        <w:pStyle w:val="ListParagraph"/>
        <w:numPr>
          <w:ilvl w:val="1"/>
          <w:numId w:val="29"/>
        </w:numPr>
        <w:tabs>
          <w:tab w:pos="1380" w:val="left" w:leader="none"/>
          <w:tab w:pos="1381" w:val="left" w:leader="none"/>
          <w:tab w:pos="9149" w:val="left" w:leader="dot"/>
        </w:tabs>
        <w:spacing w:line="240" w:lineRule="auto" w:before="92" w:after="0"/>
        <w:ind w:left="1380" w:right="0" w:hanging="857"/>
        <w:jc w:val="left"/>
        <w:rPr>
          <w:sz w:val="24"/>
        </w:rPr>
      </w:pPr>
      <w:r>
        <w:rPr>
          <w:sz w:val="24"/>
        </w:rPr>
        <w:t>Monitoring and</w:t>
      </w:r>
      <w:r>
        <w:rPr>
          <w:spacing w:val="-11"/>
          <w:sz w:val="24"/>
        </w:rPr>
        <w:t> </w:t>
      </w:r>
      <w:r>
        <w:rPr>
          <w:sz w:val="24"/>
        </w:rPr>
        <w:t>Reporting</w:t>
      </w:r>
      <w:r>
        <w:rPr>
          <w:spacing w:val="-4"/>
          <w:sz w:val="24"/>
        </w:rPr>
        <w:t> </w:t>
      </w:r>
      <w:r>
        <w:rPr>
          <w:sz w:val="24"/>
        </w:rPr>
        <w:t>Requirements</w:t>
        <w:tab/>
        <w:t>F-56</w:t>
      </w:r>
    </w:p>
    <w:p>
      <w:pPr>
        <w:pStyle w:val="ListParagraph"/>
        <w:numPr>
          <w:ilvl w:val="2"/>
          <w:numId w:val="29"/>
        </w:numPr>
        <w:tabs>
          <w:tab w:pos="1380" w:val="left" w:leader="none"/>
          <w:tab w:pos="1600" w:val="left" w:leader="none"/>
        </w:tabs>
        <w:spacing w:line="240" w:lineRule="auto" w:before="60" w:after="0"/>
        <w:ind w:left="524" w:right="1009" w:firstLine="230"/>
        <w:jc w:val="right"/>
        <w:rPr>
          <w:sz w:val="24"/>
        </w:rPr>
      </w:pPr>
      <w:r>
        <w:rPr>
          <w:sz w:val="24"/>
        </w:rPr>
        <w:t>Authorities Supporting Monitoring and Reporting</w:t>
      </w:r>
      <w:r>
        <w:rPr>
          <w:spacing w:val="-51"/>
          <w:sz w:val="24"/>
        </w:rPr>
        <w:t> </w:t>
      </w:r>
      <w:r>
        <w:rPr>
          <w:sz w:val="24"/>
        </w:rPr>
        <w:t>...................................</w:t>
      </w:r>
      <w:r>
        <w:rPr>
          <w:spacing w:val="-52"/>
          <w:sz w:val="24"/>
        </w:rPr>
        <w:t> </w:t>
      </w:r>
      <w:r>
        <w:rPr>
          <w:sz w:val="24"/>
        </w:rPr>
        <w:t>F-56 4.11.</w:t>
        <w:tab/>
        <w:t>Provisions</w:t>
      </w:r>
      <w:r>
        <w:rPr>
          <w:spacing w:val="-24"/>
          <w:sz w:val="24"/>
        </w:rPr>
        <w:t> </w:t>
      </w:r>
      <w:r>
        <w:rPr>
          <w:sz w:val="24"/>
        </w:rPr>
        <w:t>..................................................................................................</w:t>
      </w:r>
      <w:r>
        <w:rPr>
          <w:spacing w:val="-44"/>
          <w:sz w:val="24"/>
        </w:rPr>
        <w:t> </w:t>
      </w:r>
      <w:r>
        <w:rPr>
          <w:sz w:val="24"/>
        </w:rPr>
        <w:t>F-57</w:t>
      </w:r>
    </w:p>
    <w:p>
      <w:pPr>
        <w:pStyle w:val="BodyText"/>
        <w:spacing w:before="60"/>
        <w:ind w:left="524" w:right="1020"/>
        <w:jc w:val="right"/>
      </w:pPr>
      <w:r>
        <w:rPr/>
        <w:t>4.11.1. Standard Provisions ...............................................................................</w:t>
      </w:r>
      <w:r>
        <w:rPr>
          <w:spacing w:val="-27"/>
        </w:rPr>
        <w:t> </w:t>
      </w:r>
      <w:r>
        <w:rPr/>
        <w:t>F-57</w:t>
      </w:r>
    </w:p>
    <w:p>
      <w:pPr>
        <w:pStyle w:val="BodyText"/>
        <w:ind w:left="524" w:right="1019"/>
        <w:jc w:val="right"/>
      </w:pPr>
      <w:r>
        <w:rPr/>
        <w:t>4.11.2. Enforcement ...........................................................................................</w:t>
      </w:r>
      <w:r>
        <w:rPr>
          <w:spacing w:val="-44"/>
        </w:rPr>
        <w:t> </w:t>
      </w:r>
      <w:r>
        <w:rPr/>
        <w:t>F-57</w:t>
      </w:r>
    </w:p>
    <w:p>
      <w:pPr>
        <w:pStyle w:val="BodyText"/>
        <w:ind w:left="524" w:right="1020"/>
        <w:jc w:val="right"/>
      </w:pPr>
      <w:r>
        <w:rPr/>
        <w:t>4.11.3. Special Provisions ..................................................................................</w:t>
      </w:r>
      <w:r>
        <w:rPr>
          <w:spacing w:val="-40"/>
        </w:rPr>
        <w:t> </w:t>
      </w:r>
      <w:r>
        <w:rPr/>
        <w:t>F-57</w:t>
      </w:r>
    </w:p>
    <w:p>
      <w:pPr>
        <w:pStyle w:val="BodyText"/>
        <w:ind w:left="524" w:right="1032"/>
        <w:jc w:val="right"/>
      </w:pPr>
      <w:r>
        <w:rPr/>
        <w:t>4.11.3.1. Reopener Provision..........................................................................</w:t>
      </w:r>
      <w:r>
        <w:rPr>
          <w:spacing w:val="-30"/>
        </w:rPr>
        <w:t> </w:t>
      </w:r>
      <w:r>
        <w:rPr/>
        <w:t>F-57</w:t>
      </w:r>
    </w:p>
    <w:p>
      <w:pPr>
        <w:pStyle w:val="BodyText"/>
        <w:tabs>
          <w:tab w:pos="1380" w:val="left" w:leader="none"/>
        </w:tabs>
        <w:spacing w:before="100"/>
        <w:ind w:left="524" w:right="1010" w:firstLine="230"/>
        <w:jc w:val="right"/>
      </w:pPr>
      <w:r>
        <w:rPr/>
        <w:t>4.11.4. Electronic Signature and Certification Requirements</w:t>
      </w:r>
      <w:r>
        <w:rPr>
          <w:spacing w:val="4"/>
        </w:rPr>
        <w:t> </w:t>
      </w:r>
      <w:r>
        <w:rPr/>
        <w:t>.............................</w:t>
      </w:r>
      <w:r>
        <w:rPr>
          <w:spacing w:val="-53"/>
        </w:rPr>
        <w:t> </w:t>
      </w:r>
      <w:r>
        <w:rPr/>
        <w:t>F-57 4.11.5. Other Special Provisions</w:t>
      </w:r>
      <w:r>
        <w:rPr>
          <w:spacing w:val="9"/>
        </w:rPr>
        <w:t> </w:t>
      </w:r>
      <w:r>
        <w:rPr/>
        <w:t>........................................................................</w:t>
      </w:r>
      <w:r>
        <w:rPr>
          <w:spacing w:val="-52"/>
        </w:rPr>
        <w:t> </w:t>
      </w:r>
      <w:r>
        <w:rPr/>
        <w:t>F-57 4.12.</w:t>
        <w:tab/>
        <w:t>Compliance Determination.........................................................................</w:t>
      </w:r>
      <w:r>
        <w:rPr>
          <w:spacing w:val="-47"/>
        </w:rPr>
        <w:t> </w:t>
      </w:r>
      <w:r>
        <w:rPr/>
        <w:t>F-58</w:t>
      </w:r>
    </w:p>
    <w:p>
      <w:pPr>
        <w:pStyle w:val="BodyText"/>
        <w:tabs>
          <w:tab w:pos="539" w:val="left" w:leader="none"/>
        </w:tabs>
        <w:spacing w:before="60"/>
        <w:ind w:right="1008"/>
        <w:jc w:val="right"/>
      </w:pPr>
      <w:r>
        <w:rPr/>
        <w:t>5.</w:t>
        <w:tab/>
        <w:t>Public Participation.............................................................................................</w:t>
      </w:r>
      <w:r>
        <w:rPr>
          <w:spacing w:val="-40"/>
        </w:rPr>
        <w:t> </w:t>
      </w:r>
      <w:r>
        <w:rPr/>
        <w:t>F-58</w:t>
      </w:r>
    </w:p>
    <w:p>
      <w:pPr>
        <w:pStyle w:val="BodyText"/>
        <w:spacing w:before="60"/>
        <w:ind w:left="524" w:right="1017"/>
        <w:jc w:val="right"/>
      </w:pPr>
      <w:r>
        <w:rPr/>
        <w:t>5.1.</w:t>
      </w:r>
      <w:r>
        <w:rPr>
          <w:spacing w:val="1"/>
        </w:rPr>
        <w:t> </w:t>
      </w:r>
      <w:r>
        <w:rPr/>
        <w:t>Notification</w:t>
      </w:r>
      <w:r>
        <w:rPr>
          <w:spacing w:val="-7"/>
        </w:rPr>
        <w:t> </w:t>
      </w:r>
      <w:r>
        <w:rPr/>
        <w:t>of</w:t>
      </w:r>
      <w:r>
        <w:rPr>
          <w:spacing w:val="-6"/>
        </w:rPr>
        <w:t> </w:t>
      </w:r>
      <w:r>
        <w:rPr/>
        <w:t>Interested</w:t>
      </w:r>
      <w:r>
        <w:rPr>
          <w:spacing w:val="-6"/>
        </w:rPr>
        <w:t> </w:t>
      </w:r>
      <w:r>
        <w:rPr/>
        <w:t>Parties</w:t>
      </w:r>
      <w:r>
        <w:rPr>
          <w:spacing w:val="-52"/>
        </w:rPr>
        <w:t> </w:t>
      </w:r>
      <w:r>
        <w:rPr/>
        <w:t>......................................................................</w:t>
      </w:r>
      <w:r>
        <w:rPr>
          <w:spacing w:val="-47"/>
        </w:rPr>
        <w:t> </w:t>
      </w:r>
      <w:r>
        <w:rPr/>
        <w:t>F-58</w:t>
      </w:r>
    </w:p>
    <w:p>
      <w:pPr>
        <w:pStyle w:val="BodyText"/>
        <w:spacing w:before="60"/>
        <w:ind w:left="524" w:right="1010"/>
        <w:jc w:val="right"/>
      </w:pPr>
      <w:r>
        <w:rPr/>
        <w:t>5.2.</w:t>
      </w:r>
      <w:r>
        <w:rPr>
          <w:spacing w:val="6"/>
        </w:rPr>
        <w:t> </w:t>
      </w:r>
      <w:r>
        <w:rPr/>
        <w:t>Written</w:t>
      </w:r>
      <w:r>
        <w:rPr>
          <w:spacing w:val="-2"/>
        </w:rPr>
        <w:t> </w:t>
      </w:r>
      <w:r>
        <w:rPr/>
        <w:t>Comments</w:t>
      </w:r>
      <w:r>
        <w:rPr>
          <w:spacing w:val="-49"/>
        </w:rPr>
        <w:t> </w:t>
      </w:r>
      <w:r>
        <w:rPr/>
        <w:t>...........................................................................................</w:t>
      </w:r>
      <w:r>
        <w:rPr>
          <w:spacing w:val="-41"/>
        </w:rPr>
        <w:t> </w:t>
      </w:r>
      <w:r>
        <w:rPr/>
        <w:t>F-58</w:t>
      </w:r>
    </w:p>
    <w:p>
      <w:pPr>
        <w:pStyle w:val="BodyText"/>
        <w:spacing w:before="60"/>
        <w:ind w:left="524" w:right="1009"/>
        <w:jc w:val="right"/>
      </w:pPr>
      <w:r>
        <w:rPr/>
        <w:t>5.3.</w:t>
      </w:r>
      <w:r>
        <w:rPr>
          <w:spacing w:val="6"/>
        </w:rPr>
        <w:t> </w:t>
      </w:r>
      <w:r>
        <w:rPr/>
        <w:t>Public</w:t>
      </w:r>
      <w:r>
        <w:rPr>
          <w:spacing w:val="-1"/>
        </w:rPr>
        <w:t> </w:t>
      </w:r>
      <w:r>
        <w:rPr/>
        <w:t>Hearing</w:t>
      </w:r>
      <w:r>
        <w:rPr>
          <w:spacing w:val="-25"/>
        </w:rPr>
        <w:t> </w:t>
      </w:r>
      <w:r>
        <w:rPr/>
        <w:t>.................................................................................................</w:t>
      </w:r>
      <w:r>
        <w:rPr>
          <w:spacing w:val="-41"/>
        </w:rPr>
        <w:t> </w:t>
      </w:r>
      <w:r>
        <w:rPr/>
        <w:t>F-58</w:t>
      </w:r>
    </w:p>
    <w:p>
      <w:pPr>
        <w:pStyle w:val="BodyText"/>
        <w:spacing w:line="292" w:lineRule="auto" w:before="60"/>
        <w:ind w:left="524" w:right="1009"/>
        <w:jc w:val="both"/>
      </w:pPr>
      <w:r>
        <w:rPr/>
        <w:t>5.4.</w:t>
      </w:r>
      <w:r>
        <w:rPr>
          <w:spacing w:val="3"/>
        </w:rPr>
        <w:t> </w:t>
      </w:r>
      <w:r>
        <w:rPr/>
        <w:t>Reconsideration</w:t>
      </w:r>
      <w:r>
        <w:rPr>
          <w:spacing w:val="-4"/>
        </w:rPr>
        <w:t> </w:t>
      </w:r>
      <w:r>
        <w:rPr/>
        <w:t>of</w:t>
      </w:r>
      <w:r>
        <w:rPr>
          <w:spacing w:val="-4"/>
        </w:rPr>
        <w:t> </w:t>
      </w:r>
      <w:r>
        <w:rPr/>
        <w:t>Waste</w:t>
      </w:r>
      <w:r>
        <w:rPr>
          <w:spacing w:val="-3"/>
        </w:rPr>
        <w:t> </w:t>
      </w:r>
      <w:r>
        <w:rPr/>
        <w:t>Discharge</w:t>
      </w:r>
      <w:r>
        <w:rPr>
          <w:spacing w:val="-5"/>
        </w:rPr>
        <w:t> </w:t>
      </w:r>
      <w:r>
        <w:rPr/>
        <w:t>Requirements</w:t>
      </w:r>
      <w:r>
        <w:rPr>
          <w:spacing w:val="-24"/>
        </w:rPr>
        <w:t> </w:t>
      </w:r>
      <w:r>
        <w:rPr/>
        <w:t>.......................................</w:t>
      </w:r>
      <w:r>
        <w:rPr>
          <w:spacing w:val="-43"/>
        </w:rPr>
        <w:t> </w:t>
      </w:r>
      <w:r>
        <w:rPr/>
        <w:t>F-59 5.5. Information and Copying ................................................................................. F-59 5.6.</w:t>
      </w:r>
      <w:r>
        <w:rPr>
          <w:spacing w:val="5"/>
        </w:rPr>
        <w:t> </w:t>
      </w:r>
      <w:r>
        <w:rPr/>
        <w:t>Register</w:t>
      </w:r>
      <w:r>
        <w:rPr>
          <w:spacing w:val="-2"/>
        </w:rPr>
        <w:t> </w:t>
      </w:r>
      <w:r>
        <w:rPr/>
        <w:t>of</w:t>
      </w:r>
      <w:r>
        <w:rPr>
          <w:spacing w:val="-2"/>
        </w:rPr>
        <w:t> </w:t>
      </w:r>
      <w:r>
        <w:rPr/>
        <w:t>Interested</w:t>
      </w:r>
      <w:r>
        <w:rPr>
          <w:spacing w:val="-3"/>
        </w:rPr>
        <w:t> </w:t>
      </w:r>
      <w:r>
        <w:rPr/>
        <w:t>Persons</w:t>
      </w:r>
      <w:r>
        <w:rPr>
          <w:spacing w:val="-27"/>
        </w:rPr>
        <w:t> </w:t>
      </w:r>
      <w:r>
        <w:rPr/>
        <w:t>........................................................................</w:t>
      </w:r>
      <w:r>
        <w:rPr>
          <w:spacing w:val="-41"/>
        </w:rPr>
        <w:t> </w:t>
      </w:r>
      <w:r>
        <w:rPr/>
        <w:t>F-59 5.7.</w:t>
      </w:r>
      <w:r>
        <w:rPr>
          <w:spacing w:val="6"/>
        </w:rPr>
        <w:t> </w:t>
      </w:r>
      <w:r>
        <w:rPr/>
        <w:t>Additional</w:t>
      </w:r>
      <w:r>
        <w:rPr>
          <w:spacing w:val="-2"/>
        </w:rPr>
        <w:t> </w:t>
      </w:r>
      <w:r>
        <w:rPr/>
        <w:t>Information</w:t>
      </w:r>
      <w:r>
        <w:rPr>
          <w:spacing w:val="-47"/>
        </w:rPr>
        <w:t> </w:t>
      </w:r>
      <w:r>
        <w:rPr/>
        <w:t>......................................................................................</w:t>
      </w:r>
      <w:r>
        <w:rPr>
          <w:spacing w:val="-42"/>
        </w:rPr>
        <w:t> </w:t>
      </w:r>
      <w:r>
        <w:rPr/>
        <w:t>F-60</w:t>
      </w:r>
    </w:p>
    <w:p>
      <w:pPr>
        <w:pStyle w:val="BodyText"/>
        <w:rPr>
          <w:sz w:val="29"/>
        </w:rPr>
      </w:pPr>
    </w:p>
    <w:p>
      <w:pPr>
        <w:pStyle w:val="Heading1"/>
        <w:ind w:left="1209" w:right="1947"/>
        <w:jc w:val="center"/>
      </w:pPr>
      <w:r>
        <w:rPr/>
        <w:t>TABLE OF TABLES</w:t>
      </w:r>
    </w:p>
    <w:p>
      <w:pPr>
        <w:pStyle w:val="BodyText"/>
        <w:spacing w:before="10"/>
        <w:rPr>
          <w:b/>
          <w:sz w:val="20"/>
        </w:rPr>
      </w:pPr>
    </w:p>
    <w:p>
      <w:pPr>
        <w:pStyle w:val="BodyText"/>
        <w:ind w:left="286" w:right="1028"/>
        <w:jc w:val="center"/>
      </w:pPr>
      <w:r>
        <w:rPr/>
        <w:t>Table F-1. Summary of Administrative Information</w:t>
      </w:r>
      <w:r>
        <w:rPr>
          <w:spacing w:val="-18"/>
        </w:rPr>
        <w:t> </w:t>
      </w:r>
      <w:r>
        <w:rPr/>
        <w:t>......................................................F-4</w:t>
      </w:r>
    </w:p>
    <w:p>
      <w:pPr>
        <w:pStyle w:val="BodyText"/>
        <w:ind w:left="286" w:right="1026"/>
        <w:jc w:val="center"/>
      </w:pPr>
      <w:r>
        <w:rPr/>
        <w:t>Table</w:t>
      </w:r>
      <w:r>
        <w:rPr>
          <w:spacing w:val="-5"/>
        </w:rPr>
        <w:t> </w:t>
      </w:r>
      <w:r>
        <w:rPr/>
        <w:t>F-2.</w:t>
      </w:r>
      <w:r>
        <w:rPr>
          <w:spacing w:val="-4"/>
        </w:rPr>
        <w:t> </w:t>
      </w:r>
      <w:r>
        <w:rPr/>
        <w:t>Basin</w:t>
      </w:r>
      <w:r>
        <w:rPr>
          <w:spacing w:val="-4"/>
        </w:rPr>
        <w:t> </w:t>
      </w:r>
      <w:r>
        <w:rPr/>
        <w:t>Plan</w:t>
      </w:r>
      <w:r>
        <w:rPr>
          <w:spacing w:val="-4"/>
        </w:rPr>
        <w:t> </w:t>
      </w:r>
      <w:r>
        <w:rPr/>
        <w:t>Beneficial</w:t>
      </w:r>
      <w:r>
        <w:rPr>
          <w:spacing w:val="-3"/>
        </w:rPr>
        <w:t> </w:t>
      </w:r>
      <w:r>
        <w:rPr/>
        <w:t>Uses</w:t>
      </w:r>
      <w:r>
        <w:rPr>
          <w:spacing w:val="-29"/>
        </w:rPr>
        <w:t> </w:t>
      </w:r>
      <w:r>
        <w:rPr/>
        <w:t>.......................................................................</w:t>
      </w:r>
      <w:r>
        <w:rPr>
          <w:spacing w:val="-51"/>
        </w:rPr>
        <w:t> </w:t>
      </w:r>
      <w:r>
        <w:rPr/>
        <w:t>F-16</w:t>
      </w:r>
    </w:p>
    <w:p>
      <w:pPr>
        <w:spacing w:after="0"/>
        <w:jc w:val="center"/>
        <w:sectPr>
          <w:pgSz w:w="12240" w:h="15840"/>
          <w:pgMar w:header="728" w:footer="788" w:top="1540" w:bottom="980" w:left="1160" w:right="420"/>
        </w:sectPr>
      </w:pPr>
    </w:p>
    <w:p>
      <w:pPr>
        <w:pStyle w:val="BodyText"/>
        <w:spacing w:before="11"/>
        <w:rPr>
          <w:sz w:val="15"/>
        </w:rPr>
      </w:pPr>
    </w:p>
    <w:p>
      <w:pPr>
        <w:pStyle w:val="BodyText"/>
        <w:spacing w:before="92"/>
        <w:ind w:left="280" w:right="1075"/>
      </w:pPr>
      <w:r>
        <w:rPr/>
        <w:t>As described in section 2 of the Order, the Los Angeles Water Board incorporates this Fact Sheet as findings of the Los Angeles Water Board supporting the issuance of this General Permit. This Fact Sheet includes the legal requirements and technical rationale that serve as the basis for the requirements of this General Permit.</w:t>
      </w:r>
    </w:p>
    <w:p>
      <w:pPr>
        <w:pStyle w:val="BodyText"/>
        <w:spacing w:before="10"/>
        <w:rPr>
          <w:sz w:val="20"/>
        </w:rPr>
      </w:pPr>
    </w:p>
    <w:p>
      <w:pPr>
        <w:pStyle w:val="Heading1"/>
        <w:numPr>
          <w:ilvl w:val="0"/>
          <w:numId w:val="30"/>
        </w:numPr>
        <w:tabs>
          <w:tab w:pos="640" w:val="left" w:leader="none"/>
        </w:tabs>
        <w:spacing w:line="240" w:lineRule="auto" w:before="0" w:after="0"/>
        <w:ind w:left="639" w:right="0" w:hanging="360"/>
        <w:jc w:val="left"/>
      </w:pPr>
      <w:r>
        <w:rPr/>
        <w:t>PERMIT</w:t>
      </w:r>
      <w:r>
        <w:rPr>
          <w:spacing w:val="-14"/>
        </w:rPr>
        <w:t> </w:t>
      </w:r>
      <w:r>
        <w:rPr/>
        <w:t>INFORMATION.</w:t>
      </w:r>
    </w:p>
    <w:p>
      <w:pPr>
        <w:pStyle w:val="BodyText"/>
        <w:spacing w:before="10"/>
        <w:rPr>
          <w:b/>
          <w:sz w:val="20"/>
        </w:rPr>
      </w:pPr>
    </w:p>
    <w:p>
      <w:pPr>
        <w:pStyle w:val="ListParagraph"/>
        <w:numPr>
          <w:ilvl w:val="1"/>
          <w:numId w:val="30"/>
        </w:numPr>
        <w:tabs>
          <w:tab w:pos="871" w:val="left" w:leader="none"/>
        </w:tabs>
        <w:spacing w:line="240" w:lineRule="auto" w:before="0" w:after="0"/>
        <w:ind w:left="870" w:right="0" w:hanging="591"/>
        <w:jc w:val="left"/>
        <w:rPr>
          <w:b/>
          <w:sz w:val="24"/>
        </w:rPr>
      </w:pPr>
      <w:r>
        <w:rPr>
          <w:b/>
          <w:sz w:val="24"/>
        </w:rPr>
        <w:t>Facility</w:t>
      </w:r>
      <w:r>
        <w:rPr>
          <w:b/>
          <w:spacing w:val="-11"/>
          <w:sz w:val="24"/>
        </w:rPr>
        <w:t> </w:t>
      </w:r>
      <w:r>
        <w:rPr>
          <w:b/>
          <w:sz w:val="24"/>
        </w:rPr>
        <w:t>Information.</w:t>
      </w:r>
    </w:p>
    <w:p>
      <w:pPr>
        <w:pStyle w:val="BodyText"/>
        <w:rPr>
          <w:b/>
        </w:rPr>
      </w:pPr>
    </w:p>
    <w:p>
      <w:pPr>
        <w:pStyle w:val="BodyText"/>
        <w:ind w:left="870" w:right="1219"/>
      </w:pPr>
      <w:r>
        <w:rPr/>
        <w:t>The following table summarizes administrative information related to the facilities and the Dischargers.</w:t>
      </w:r>
    </w:p>
    <w:p>
      <w:pPr>
        <w:pStyle w:val="BodyText"/>
        <w:spacing w:before="10"/>
        <w:rPr>
          <w:sz w:val="20"/>
        </w:rPr>
      </w:pPr>
    </w:p>
    <w:p>
      <w:pPr>
        <w:pStyle w:val="Heading1"/>
        <w:spacing w:before="1"/>
        <w:ind w:left="279"/>
      </w:pPr>
      <w:r>
        <w:rPr/>
        <w:t>Table F-1. Summary of Administrative Information</w:t>
      </w:r>
    </w:p>
    <w:tbl>
      <w:tblPr>
        <w:tblW w:w="0" w:type="auto"/>
        <w:jc w:val="left"/>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58"/>
        <w:gridCol w:w="7692"/>
      </w:tblGrid>
      <w:tr>
        <w:trPr>
          <w:trHeight w:val="551" w:hRule="atLeast"/>
        </w:trPr>
        <w:tc>
          <w:tcPr>
            <w:tcW w:w="1658" w:type="dxa"/>
            <w:shd w:val="clear" w:color="auto" w:fill="D9D9D9"/>
          </w:tcPr>
          <w:p>
            <w:pPr>
              <w:pStyle w:val="TableParagraph"/>
              <w:spacing w:before="138"/>
              <w:ind w:left="113" w:right="105"/>
              <w:rPr>
                <w:b/>
                <w:sz w:val="24"/>
              </w:rPr>
            </w:pPr>
            <w:r>
              <w:rPr>
                <w:b/>
                <w:sz w:val="24"/>
              </w:rPr>
              <w:t>Category</w:t>
            </w:r>
          </w:p>
        </w:tc>
        <w:tc>
          <w:tcPr>
            <w:tcW w:w="7692" w:type="dxa"/>
          </w:tcPr>
          <w:p>
            <w:pPr>
              <w:pStyle w:val="TableParagraph"/>
              <w:spacing w:before="138"/>
              <w:ind w:left="54" w:right="47"/>
              <w:rPr>
                <w:b/>
                <w:sz w:val="24"/>
              </w:rPr>
            </w:pPr>
            <w:r>
              <w:rPr>
                <w:b/>
                <w:sz w:val="24"/>
              </w:rPr>
              <w:t>Administrative Information</w:t>
            </w:r>
          </w:p>
        </w:tc>
      </w:tr>
      <w:tr>
        <w:trPr>
          <w:trHeight w:val="551" w:hRule="atLeast"/>
        </w:trPr>
        <w:tc>
          <w:tcPr>
            <w:tcW w:w="1658" w:type="dxa"/>
            <w:shd w:val="clear" w:color="auto" w:fill="D9D9D9"/>
          </w:tcPr>
          <w:p>
            <w:pPr>
              <w:pStyle w:val="TableParagraph"/>
              <w:spacing w:before="134"/>
              <w:ind w:left="113" w:right="105"/>
              <w:rPr>
                <w:b/>
                <w:sz w:val="16"/>
              </w:rPr>
            </w:pPr>
            <w:r>
              <w:rPr>
                <w:b/>
                <w:sz w:val="24"/>
              </w:rPr>
              <w:t>WDID No.</w:t>
            </w:r>
            <w:r>
              <w:rPr>
                <w:b/>
                <w:position w:val="8"/>
                <w:sz w:val="16"/>
              </w:rPr>
              <w:t>1</w:t>
            </w:r>
          </w:p>
        </w:tc>
        <w:tc>
          <w:tcPr>
            <w:tcW w:w="7692" w:type="dxa"/>
          </w:tcPr>
          <w:p>
            <w:pPr>
              <w:pStyle w:val="TableParagraph"/>
              <w:spacing w:before="139"/>
              <w:ind w:left="53" w:right="47"/>
              <w:rPr>
                <w:sz w:val="24"/>
              </w:rPr>
            </w:pPr>
            <w:r>
              <w:rPr>
                <w:sz w:val="24"/>
              </w:rPr>
              <w:t>Various</w:t>
            </w:r>
          </w:p>
        </w:tc>
      </w:tr>
      <w:tr>
        <w:trPr>
          <w:trHeight w:val="552" w:hRule="atLeast"/>
        </w:trPr>
        <w:tc>
          <w:tcPr>
            <w:tcW w:w="1658" w:type="dxa"/>
            <w:shd w:val="clear" w:color="auto" w:fill="D9D9D9"/>
          </w:tcPr>
          <w:p>
            <w:pPr>
              <w:pStyle w:val="TableParagraph"/>
              <w:spacing w:before="139"/>
              <w:ind w:left="113" w:right="107"/>
              <w:rPr>
                <w:b/>
                <w:sz w:val="24"/>
              </w:rPr>
            </w:pPr>
            <w:r>
              <w:rPr>
                <w:b/>
                <w:sz w:val="24"/>
              </w:rPr>
              <w:t>Dischargers</w:t>
            </w:r>
          </w:p>
        </w:tc>
        <w:tc>
          <w:tcPr>
            <w:tcW w:w="7692" w:type="dxa"/>
          </w:tcPr>
          <w:p>
            <w:pPr>
              <w:pStyle w:val="TableParagraph"/>
              <w:spacing w:before="139"/>
              <w:ind w:left="53" w:right="47"/>
              <w:rPr>
                <w:sz w:val="24"/>
              </w:rPr>
            </w:pPr>
            <w:r>
              <w:rPr>
                <w:sz w:val="24"/>
              </w:rPr>
              <w:t>Various</w:t>
            </w:r>
          </w:p>
        </w:tc>
      </w:tr>
      <w:tr>
        <w:trPr>
          <w:trHeight w:val="1103" w:hRule="atLeast"/>
        </w:trPr>
        <w:tc>
          <w:tcPr>
            <w:tcW w:w="1658" w:type="dxa"/>
            <w:shd w:val="clear" w:color="auto" w:fill="D9D9D9"/>
          </w:tcPr>
          <w:p>
            <w:pPr>
              <w:pStyle w:val="TableParagraph"/>
              <w:spacing w:before="138"/>
              <w:ind w:left="167" w:right="157" w:hanging="1"/>
              <w:rPr>
                <w:b/>
                <w:sz w:val="24"/>
              </w:rPr>
            </w:pPr>
            <w:r>
              <w:rPr>
                <w:b/>
                <w:sz w:val="24"/>
              </w:rPr>
              <w:t>Discharger Contact Information</w:t>
            </w:r>
          </w:p>
        </w:tc>
        <w:tc>
          <w:tcPr>
            <w:tcW w:w="7692" w:type="dxa"/>
          </w:tcPr>
          <w:p>
            <w:pPr>
              <w:pStyle w:val="TableParagraph"/>
              <w:spacing w:line="237" w:lineRule="auto" w:before="140"/>
              <w:ind w:left="57" w:right="47"/>
              <w:rPr>
                <w:sz w:val="24"/>
              </w:rPr>
            </w:pPr>
            <w:r>
              <w:rPr>
                <w:sz w:val="24"/>
              </w:rPr>
              <w:t>Available through the </w:t>
            </w:r>
            <w:r>
              <w:rPr>
                <w:color w:val="0000FF"/>
                <w:sz w:val="24"/>
                <w:u w:val="single" w:color="0000FF"/>
              </w:rPr>
              <w:t>Stormwater Multiple Application and Report</w:t>
            </w:r>
            <w:r>
              <w:rPr>
                <w:color w:val="0000FF"/>
                <w:sz w:val="24"/>
              </w:rPr>
              <w:t> </w:t>
            </w:r>
            <w:r>
              <w:rPr>
                <w:color w:val="0000FF"/>
                <w:sz w:val="24"/>
                <w:u w:val="single" w:color="0000FF"/>
              </w:rPr>
              <w:t>Tracking System (SMARTS)</w:t>
            </w:r>
            <w:r>
              <w:rPr>
                <w:position w:val="8"/>
                <w:sz w:val="16"/>
              </w:rPr>
              <w:t>2 </w:t>
            </w:r>
            <w:r>
              <w:rPr>
                <w:sz w:val="24"/>
              </w:rPr>
              <w:t>(https://smarts.waterboards.ca.gov/smarts/faces/SwSmartsLogin.xhtml)</w:t>
            </w:r>
          </w:p>
        </w:tc>
      </w:tr>
      <w:tr>
        <w:trPr>
          <w:trHeight w:val="827" w:hRule="atLeast"/>
        </w:trPr>
        <w:tc>
          <w:tcPr>
            <w:tcW w:w="1658" w:type="dxa"/>
            <w:shd w:val="clear" w:color="auto" w:fill="D9D9D9"/>
          </w:tcPr>
          <w:p>
            <w:pPr>
              <w:pStyle w:val="TableParagraph"/>
              <w:spacing w:before="138"/>
              <w:ind w:left="347" w:right="320" w:firstLine="67"/>
              <w:jc w:val="left"/>
              <w:rPr>
                <w:b/>
                <w:sz w:val="24"/>
              </w:rPr>
            </w:pPr>
            <w:r>
              <w:rPr>
                <w:b/>
                <w:sz w:val="24"/>
              </w:rPr>
              <w:t>Mailing Address</w:t>
            </w:r>
          </w:p>
        </w:tc>
        <w:tc>
          <w:tcPr>
            <w:tcW w:w="7692" w:type="dxa"/>
          </w:tcPr>
          <w:p>
            <w:pPr>
              <w:pStyle w:val="TableParagraph"/>
              <w:spacing w:before="1"/>
              <w:jc w:val="left"/>
              <w:rPr>
                <w:b/>
                <w:sz w:val="24"/>
              </w:rPr>
            </w:pPr>
          </w:p>
          <w:p>
            <w:pPr>
              <w:pStyle w:val="TableParagraph"/>
              <w:ind w:left="55" w:right="47"/>
              <w:rPr>
                <w:sz w:val="24"/>
              </w:rPr>
            </w:pPr>
            <w:r>
              <w:rPr>
                <w:sz w:val="24"/>
              </w:rPr>
              <w:t>Refer to SMARTS</w:t>
            </w:r>
          </w:p>
        </w:tc>
      </w:tr>
      <w:tr>
        <w:trPr>
          <w:trHeight w:val="828" w:hRule="atLeast"/>
        </w:trPr>
        <w:tc>
          <w:tcPr>
            <w:tcW w:w="1658" w:type="dxa"/>
            <w:shd w:val="clear" w:color="auto" w:fill="D9D9D9"/>
          </w:tcPr>
          <w:p>
            <w:pPr>
              <w:pStyle w:val="TableParagraph"/>
              <w:spacing w:before="139"/>
              <w:ind w:left="347" w:right="320" w:firstLine="112"/>
              <w:jc w:val="left"/>
              <w:rPr>
                <w:b/>
                <w:sz w:val="24"/>
              </w:rPr>
            </w:pPr>
            <w:r>
              <w:rPr>
                <w:b/>
                <w:sz w:val="24"/>
              </w:rPr>
              <w:t>Billing Address</w:t>
            </w:r>
          </w:p>
        </w:tc>
        <w:tc>
          <w:tcPr>
            <w:tcW w:w="7692" w:type="dxa"/>
          </w:tcPr>
          <w:p>
            <w:pPr>
              <w:pStyle w:val="TableParagraph"/>
              <w:spacing w:before="1"/>
              <w:jc w:val="left"/>
              <w:rPr>
                <w:b/>
                <w:sz w:val="24"/>
              </w:rPr>
            </w:pPr>
          </w:p>
          <w:p>
            <w:pPr>
              <w:pStyle w:val="TableParagraph"/>
              <w:ind w:left="55" w:right="47"/>
              <w:rPr>
                <w:sz w:val="24"/>
              </w:rPr>
            </w:pPr>
            <w:r>
              <w:rPr>
                <w:sz w:val="24"/>
              </w:rPr>
              <w:t>Refer to SMARTS</w:t>
            </w:r>
          </w:p>
        </w:tc>
      </w:tr>
      <w:tr>
        <w:trPr>
          <w:trHeight w:val="1299" w:hRule="atLeast"/>
        </w:trPr>
        <w:tc>
          <w:tcPr>
            <w:tcW w:w="1658" w:type="dxa"/>
            <w:shd w:val="clear" w:color="auto" w:fill="D9D9D9"/>
          </w:tcPr>
          <w:p>
            <w:pPr>
              <w:pStyle w:val="TableParagraph"/>
              <w:spacing w:before="5"/>
              <w:jc w:val="left"/>
              <w:rPr>
                <w:b/>
                <w:sz w:val="32"/>
              </w:rPr>
            </w:pPr>
          </w:p>
          <w:p>
            <w:pPr>
              <w:pStyle w:val="TableParagraph"/>
              <w:ind w:left="314" w:right="286" w:firstLine="86"/>
              <w:jc w:val="left"/>
              <w:rPr>
                <w:b/>
                <w:sz w:val="24"/>
              </w:rPr>
            </w:pPr>
            <w:r>
              <w:rPr>
                <w:b/>
                <w:sz w:val="24"/>
              </w:rPr>
              <w:t>Type of Facilities</w:t>
            </w:r>
          </w:p>
        </w:tc>
        <w:tc>
          <w:tcPr>
            <w:tcW w:w="7692" w:type="dxa"/>
          </w:tcPr>
          <w:p>
            <w:pPr>
              <w:pStyle w:val="TableParagraph"/>
              <w:spacing w:before="97"/>
              <w:ind w:left="151" w:right="139" w:hanging="3"/>
              <w:rPr>
                <w:sz w:val="24"/>
              </w:rPr>
            </w:pPr>
            <w:r>
              <w:rPr>
                <w:sz w:val="24"/>
              </w:rPr>
              <w:t>Unpermitted, privately owned commercial, industrial, and institutional (CII) facilities with greater than or equal to five (5) acres of impervious cover, excluding airports, and permitted CII sites with five (5) or more acres of total area.</w:t>
            </w:r>
          </w:p>
        </w:tc>
      </w:tr>
      <w:tr>
        <w:trPr>
          <w:trHeight w:val="1103" w:hRule="atLeast"/>
        </w:trPr>
        <w:tc>
          <w:tcPr>
            <w:tcW w:w="1658" w:type="dxa"/>
            <w:shd w:val="clear" w:color="auto" w:fill="D9D9D9"/>
          </w:tcPr>
          <w:p>
            <w:pPr>
              <w:pStyle w:val="TableParagraph"/>
              <w:spacing w:before="138"/>
              <w:ind w:left="314" w:right="305" w:firstLine="1"/>
              <w:rPr>
                <w:b/>
                <w:sz w:val="24"/>
              </w:rPr>
            </w:pPr>
            <w:r>
              <w:rPr>
                <w:b/>
                <w:sz w:val="24"/>
              </w:rPr>
              <w:t>Major or Minor Facilities</w:t>
            </w:r>
          </w:p>
        </w:tc>
        <w:tc>
          <w:tcPr>
            <w:tcW w:w="7692" w:type="dxa"/>
          </w:tcPr>
          <w:p>
            <w:pPr>
              <w:pStyle w:val="TableParagraph"/>
              <w:spacing w:before="1"/>
              <w:jc w:val="left"/>
              <w:rPr>
                <w:b/>
                <w:sz w:val="36"/>
              </w:rPr>
            </w:pPr>
          </w:p>
          <w:p>
            <w:pPr>
              <w:pStyle w:val="TableParagraph"/>
              <w:ind w:left="54" w:right="47"/>
              <w:rPr>
                <w:sz w:val="24"/>
              </w:rPr>
            </w:pPr>
            <w:r>
              <w:rPr>
                <w:sz w:val="24"/>
              </w:rPr>
              <w:t>Minor</w:t>
            </w:r>
          </w:p>
        </w:tc>
      </w:tr>
      <w:tr>
        <w:trPr>
          <w:trHeight w:val="1024" w:hRule="atLeast"/>
        </w:trPr>
        <w:tc>
          <w:tcPr>
            <w:tcW w:w="1658" w:type="dxa"/>
            <w:shd w:val="clear" w:color="auto" w:fill="D9D9D9"/>
          </w:tcPr>
          <w:p>
            <w:pPr>
              <w:pStyle w:val="TableParagraph"/>
              <w:spacing w:before="6"/>
              <w:jc w:val="left"/>
              <w:rPr>
                <w:b/>
                <w:sz w:val="20"/>
              </w:rPr>
            </w:pPr>
          </w:p>
          <w:p>
            <w:pPr>
              <w:pStyle w:val="TableParagraph"/>
              <w:ind w:left="461" w:right="220" w:hanging="214"/>
              <w:jc w:val="left"/>
              <w:rPr>
                <w:b/>
                <w:sz w:val="24"/>
              </w:rPr>
            </w:pPr>
            <w:r>
              <w:rPr>
                <w:b/>
                <w:sz w:val="24"/>
              </w:rPr>
              <w:t>Discharge Points</w:t>
            </w:r>
          </w:p>
        </w:tc>
        <w:tc>
          <w:tcPr>
            <w:tcW w:w="7692" w:type="dxa"/>
          </w:tcPr>
          <w:p>
            <w:pPr>
              <w:pStyle w:val="TableParagraph"/>
              <w:spacing w:before="98"/>
              <w:ind w:left="57" w:right="45"/>
              <w:rPr>
                <w:sz w:val="24"/>
              </w:rPr>
            </w:pPr>
            <w:r>
              <w:rPr>
                <w:sz w:val="24"/>
              </w:rPr>
              <w:t>Locations throughout the Dominguez Channel/Inner and Outer Los Angeles and Long Beach Harbor Watershed and the Los Cerritos Channel/Alamitos Bay Watershed</w:t>
            </w:r>
          </w:p>
        </w:tc>
      </w:tr>
      <w:tr>
        <w:trPr>
          <w:trHeight w:val="828" w:hRule="atLeast"/>
        </w:trPr>
        <w:tc>
          <w:tcPr>
            <w:tcW w:w="1658" w:type="dxa"/>
            <w:shd w:val="clear" w:color="auto" w:fill="D9D9D9"/>
          </w:tcPr>
          <w:p>
            <w:pPr>
              <w:pStyle w:val="TableParagraph"/>
              <w:spacing w:before="138"/>
              <w:ind w:left="167" w:right="140" w:firstLine="80"/>
              <w:jc w:val="left"/>
              <w:rPr>
                <w:b/>
                <w:sz w:val="24"/>
              </w:rPr>
            </w:pPr>
            <w:r>
              <w:rPr>
                <w:b/>
                <w:sz w:val="24"/>
              </w:rPr>
              <w:t>Discharge Description</w:t>
            </w:r>
          </w:p>
        </w:tc>
        <w:tc>
          <w:tcPr>
            <w:tcW w:w="7692" w:type="dxa"/>
          </w:tcPr>
          <w:p>
            <w:pPr>
              <w:pStyle w:val="TableParagraph"/>
              <w:spacing w:before="1"/>
              <w:jc w:val="left"/>
              <w:rPr>
                <w:b/>
                <w:sz w:val="24"/>
              </w:rPr>
            </w:pPr>
          </w:p>
          <w:p>
            <w:pPr>
              <w:pStyle w:val="TableParagraph"/>
              <w:ind w:left="55" w:right="47"/>
              <w:rPr>
                <w:sz w:val="24"/>
              </w:rPr>
            </w:pPr>
            <w:r>
              <w:rPr>
                <w:sz w:val="24"/>
              </w:rPr>
              <w:t>Stormwater and Non-Stormwater Discharges (NSWDs)</w:t>
            </w:r>
          </w:p>
        </w:tc>
      </w:tr>
    </w:tbl>
    <w:p>
      <w:pPr>
        <w:spacing w:after="0"/>
        <w:rPr>
          <w:sz w:val="24"/>
        </w:rPr>
        <w:sectPr>
          <w:pgSz w:w="12240" w:h="15840"/>
          <w:pgMar w:header="728" w:footer="788" w:top="1540" w:bottom="980" w:left="1160" w:right="420"/>
        </w:sectPr>
      </w:pPr>
    </w:p>
    <w:p>
      <w:pPr>
        <w:pStyle w:val="BodyText"/>
        <w:spacing w:before="11"/>
        <w:rPr>
          <w:b/>
          <w:sz w:val="23"/>
        </w:rPr>
      </w:pPr>
    </w:p>
    <w:tbl>
      <w:tblPr>
        <w:tblW w:w="0" w:type="auto"/>
        <w:jc w:val="left"/>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58"/>
        <w:gridCol w:w="7692"/>
      </w:tblGrid>
      <w:tr>
        <w:trPr>
          <w:trHeight w:val="1024" w:hRule="atLeast"/>
        </w:trPr>
        <w:tc>
          <w:tcPr>
            <w:tcW w:w="1658" w:type="dxa"/>
            <w:shd w:val="clear" w:color="auto" w:fill="D9D9D9"/>
          </w:tcPr>
          <w:p>
            <w:pPr>
              <w:pStyle w:val="TableParagraph"/>
              <w:spacing w:before="6"/>
              <w:jc w:val="left"/>
              <w:rPr>
                <w:b/>
                <w:sz w:val="32"/>
              </w:rPr>
            </w:pPr>
          </w:p>
          <w:p>
            <w:pPr>
              <w:pStyle w:val="TableParagraph"/>
              <w:ind w:left="68"/>
              <w:jc w:val="left"/>
              <w:rPr>
                <w:b/>
                <w:sz w:val="24"/>
              </w:rPr>
            </w:pPr>
            <w:r>
              <w:rPr>
                <w:b/>
                <w:sz w:val="24"/>
              </w:rPr>
              <w:t>Watershed(s)</w:t>
            </w:r>
          </w:p>
        </w:tc>
        <w:tc>
          <w:tcPr>
            <w:tcW w:w="7692" w:type="dxa"/>
          </w:tcPr>
          <w:p>
            <w:pPr>
              <w:pStyle w:val="TableParagraph"/>
              <w:spacing w:before="98"/>
              <w:ind w:left="56" w:right="47"/>
              <w:rPr>
                <w:sz w:val="24"/>
              </w:rPr>
            </w:pPr>
            <w:r>
              <w:rPr>
                <w:sz w:val="24"/>
              </w:rPr>
              <w:t>Dominguez Channel/Inner and Outer Los Angeles and Long Beach Harbor Watershed and the Los Cerritos Channel/Alamitos Bay Watershed</w:t>
            </w:r>
          </w:p>
        </w:tc>
      </w:tr>
      <w:tr>
        <w:trPr>
          <w:trHeight w:val="827" w:hRule="atLeast"/>
        </w:trPr>
        <w:tc>
          <w:tcPr>
            <w:tcW w:w="1658" w:type="dxa"/>
            <w:shd w:val="clear" w:color="auto" w:fill="D9D9D9"/>
          </w:tcPr>
          <w:p>
            <w:pPr>
              <w:pStyle w:val="TableParagraph"/>
              <w:spacing w:before="138"/>
              <w:ind w:left="347" w:right="234" w:hanging="87"/>
              <w:jc w:val="left"/>
              <w:rPr>
                <w:b/>
                <w:sz w:val="24"/>
              </w:rPr>
            </w:pPr>
            <w:r>
              <w:rPr>
                <w:b/>
                <w:sz w:val="24"/>
              </w:rPr>
              <w:t>Receiving Water(s)</w:t>
            </w:r>
          </w:p>
        </w:tc>
        <w:tc>
          <w:tcPr>
            <w:tcW w:w="7692" w:type="dxa"/>
          </w:tcPr>
          <w:p>
            <w:pPr>
              <w:pStyle w:val="TableParagraph"/>
              <w:spacing w:before="1"/>
              <w:jc w:val="left"/>
              <w:rPr>
                <w:b/>
                <w:sz w:val="24"/>
              </w:rPr>
            </w:pPr>
          </w:p>
          <w:p>
            <w:pPr>
              <w:pStyle w:val="TableParagraph"/>
              <w:ind w:left="57" w:right="46"/>
              <w:rPr>
                <w:sz w:val="24"/>
              </w:rPr>
            </w:pPr>
            <w:r>
              <w:rPr>
                <w:sz w:val="24"/>
              </w:rPr>
              <w:t>Various (see section 3.2 of this Fact Sheet)</w:t>
            </w:r>
          </w:p>
        </w:tc>
      </w:tr>
      <w:tr>
        <w:trPr>
          <w:trHeight w:val="1103" w:hRule="atLeast"/>
        </w:trPr>
        <w:tc>
          <w:tcPr>
            <w:tcW w:w="1658" w:type="dxa"/>
            <w:shd w:val="clear" w:color="auto" w:fill="D9D9D9"/>
          </w:tcPr>
          <w:p>
            <w:pPr>
              <w:pStyle w:val="TableParagraph"/>
              <w:spacing w:before="138"/>
              <w:ind w:left="113" w:right="104"/>
              <w:rPr>
                <w:b/>
                <w:sz w:val="24"/>
              </w:rPr>
            </w:pPr>
            <w:r>
              <w:rPr>
                <w:b/>
                <w:sz w:val="24"/>
              </w:rPr>
              <w:t>Receiving Water Type(s)</w:t>
            </w:r>
          </w:p>
        </w:tc>
        <w:tc>
          <w:tcPr>
            <w:tcW w:w="7692" w:type="dxa"/>
          </w:tcPr>
          <w:p>
            <w:pPr>
              <w:pStyle w:val="TableParagraph"/>
              <w:spacing w:before="138"/>
              <w:ind w:left="55" w:right="47"/>
              <w:rPr>
                <w:sz w:val="24"/>
              </w:rPr>
            </w:pPr>
            <w:r>
              <w:rPr>
                <w:sz w:val="24"/>
              </w:rPr>
              <w:t>Inland surface waters, estuarine waters, and marine waters, including but not limited to lakes, rivers, estuaries, lagoons, harbors, bays, beaches, and the Pacific Ocean</w:t>
            </w:r>
          </w:p>
        </w:tc>
      </w:tr>
      <w:tr>
        <w:trPr>
          <w:trHeight w:val="2448" w:hRule="atLeast"/>
        </w:trPr>
        <w:tc>
          <w:tcPr>
            <w:tcW w:w="9350" w:type="dxa"/>
            <w:gridSpan w:val="2"/>
          </w:tcPr>
          <w:p>
            <w:pPr>
              <w:pStyle w:val="TableParagraph"/>
              <w:spacing w:before="118"/>
              <w:ind w:left="201"/>
              <w:jc w:val="left"/>
              <w:rPr>
                <w:sz w:val="22"/>
              </w:rPr>
            </w:pPr>
            <w:r>
              <w:rPr>
                <w:sz w:val="22"/>
                <w:u w:val="single"/>
              </w:rPr>
              <w:t>Table Notes</w:t>
            </w:r>
          </w:p>
          <w:p>
            <w:pPr>
              <w:pStyle w:val="TableParagraph"/>
              <w:spacing w:before="60"/>
              <w:ind w:left="57" w:right="103"/>
              <w:jc w:val="left"/>
              <w:rPr>
                <w:sz w:val="20"/>
              </w:rPr>
            </w:pPr>
            <w:r>
              <w:rPr>
                <w:sz w:val="20"/>
              </w:rPr>
              <w:t>WDID No. stands for “Waste Discharge Identification Number”, which is a unique identifier given to a specific facility and regulatory measure (e.g., NPDES permit). In the case of the Order, each Discharger has a unique WDID number associated with its coverage under the Order.</w:t>
            </w:r>
          </w:p>
          <w:p>
            <w:pPr>
              <w:pStyle w:val="TableParagraph"/>
              <w:spacing w:before="60"/>
              <w:ind w:left="57" w:right="98"/>
              <w:jc w:val="left"/>
              <w:rPr>
                <w:sz w:val="20"/>
              </w:rPr>
            </w:pPr>
            <w:r>
              <w:rPr>
                <w:sz w:val="20"/>
              </w:rPr>
              <w:t>SMARTS provides a platform where dischargers, regulators, and the public can enter, manage, and view stormwater data including permit applications and compliance and monitoring data associated with NPDES permits for stormwater discharges issued by the State of California. SMARTS is compliant with USEPA’s Cross-Media Electronic Reporting Rule, which sets requirements for electronic reporting of NPDES permit-related submittals.</w:t>
            </w:r>
          </w:p>
        </w:tc>
      </w:tr>
    </w:tbl>
    <w:p>
      <w:pPr>
        <w:pStyle w:val="BodyText"/>
        <w:rPr>
          <w:b/>
          <w:sz w:val="20"/>
        </w:rPr>
      </w:pPr>
    </w:p>
    <w:p>
      <w:pPr>
        <w:pStyle w:val="BodyText"/>
        <w:spacing w:before="10"/>
        <w:rPr>
          <w:b/>
          <w:sz w:val="16"/>
        </w:rPr>
      </w:pPr>
    </w:p>
    <w:p>
      <w:pPr>
        <w:pStyle w:val="ListParagraph"/>
        <w:numPr>
          <w:ilvl w:val="1"/>
          <w:numId w:val="30"/>
        </w:numPr>
        <w:tabs>
          <w:tab w:pos="871" w:val="left" w:leader="none"/>
        </w:tabs>
        <w:spacing w:line="240" w:lineRule="auto" w:before="92" w:after="0"/>
        <w:ind w:left="870" w:right="0" w:hanging="591"/>
        <w:jc w:val="left"/>
        <w:rPr>
          <w:b/>
          <w:sz w:val="24"/>
        </w:rPr>
      </w:pPr>
      <w:r>
        <w:rPr>
          <w:b/>
          <w:sz w:val="24"/>
        </w:rPr>
        <w:t>Dischargers.</w:t>
      </w:r>
    </w:p>
    <w:p>
      <w:pPr>
        <w:pStyle w:val="BodyText"/>
        <w:rPr>
          <w:b/>
        </w:rPr>
      </w:pPr>
    </w:p>
    <w:p>
      <w:pPr>
        <w:pStyle w:val="BodyText"/>
        <w:ind w:left="870" w:right="1671"/>
      </w:pPr>
      <w:r>
        <w:rPr/>
        <w:t>The entities discussed in this Fact Sheet are hereinafter referred to as “Permittees” or “Dischargers.” References to “discharger” or “permittee” in applicable State and federal laws, regulations, plans, or policy are held to be equivalent to references to the Permittees or Dischargers herein.</w:t>
      </w:r>
    </w:p>
    <w:p>
      <w:pPr>
        <w:pStyle w:val="BodyText"/>
        <w:spacing w:before="10"/>
        <w:rPr>
          <w:sz w:val="20"/>
        </w:rPr>
      </w:pPr>
    </w:p>
    <w:p>
      <w:pPr>
        <w:pStyle w:val="Heading1"/>
        <w:numPr>
          <w:ilvl w:val="1"/>
          <w:numId w:val="30"/>
        </w:numPr>
        <w:tabs>
          <w:tab w:pos="871" w:val="left" w:leader="none"/>
        </w:tabs>
        <w:spacing w:line="240" w:lineRule="auto" w:before="0" w:after="0"/>
        <w:ind w:left="870" w:right="0" w:hanging="591"/>
        <w:jc w:val="left"/>
      </w:pPr>
      <w:r>
        <w:rPr/>
        <w:t>Discharges.</w:t>
      </w:r>
    </w:p>
    <w:p>
      <w:pPr>
        <w:pStyle w:val="BodyText"/>
        <w:rPr>
          <w:b/>
        </w:rPr>
      </w:pPr>
    </w:p>
    <w:p>
      <w:pPr>
        <w:pStyle w:val="BodyText"/>
        <w:ind w:left="870" w:right="1178"/>
      </w:pPr>
      <w:r>
        <w:rPr/>
        <w:t>Information about the Dischargers’ stormwater and authorized NSWDs is summarized in Table F-1 above. Attachment A of this General Permit lists acronyms and definitions of terms used in the General Permit and all other attachments. Attachment B of this General Permit provides a map depicting each major Watershed Management Area, its subwatersheds, and the major receiving waters therein to which the Permittees discharge. Attachment C of this General Permit depicts the major municipal separate stormwater sewer system (MS4)- related infrastructure within the Los Angeles Region.</w:t>
      </w:r>
    </w:p>
    <w:p>
      <w:pPr>
        <w:pStyle w:val="BodyText"/>
        <w:spacing w:before="10"/>
        <w:rPr>
          <w:sz w:val="20"/>
        </w:rPr>
      </w:pPr>
    </w:p>
    <w:p>
      <w:pPr>
        <w:pStyle w:val="Heading1"/>
        <w:numPr>
          <w:ilvl w:val="1"/>
          <w:numId w:val="30"/>
        </w:numPr>
        <w:tabs>
          <w:tab w:pos="871" w:val="left" w:leader="none"/>
        </w:tabs>
        <w:spacing w:line="240" w:lineRule="auto" w:before="1" w:after="0"/>
        <w:ind w:left="870" w:right="0" w:hanging="591"/>
        <w:jc w:val="left"/>
      </w:pPr>
      <w:r>
        <w:rPr/>
        <w:t>Permit Scope.</w:t>
      </w:r>
    </w:p>
    <w:p>
      <w:pPr>
        <w:pStyle w:val="BodyText"/>
        <w:spacing w:before="11"/>
        <w:rPr>
          <w:b/>
          <w:sz w:val="23"/>
        </w:rPr>
      </w:pPr>
    </w:p>
    <w:p>
      <w:pPr>
        <w:pStyle w:val="BodyText"/>
        <w:ind w:left="870" w:right="1145"/>
        <w:jc w:val="both"/>
      </w:pPr>
      <w:r>
        <w:rPr/>
        <w:t>This Order regulates stormwater runoff and authorized NSWDs from unpermitted, privately owned commercial, industrial, and institutional (CII) facilities with greater than or equal to five (5) acres of impervious cover, excluding airports and from</w:t>
      </w:r>
    </w:p>
    <w:p>
      <w:pPr>
        <w:spacing w:after="0"/>
        <w:jc w:val="both"/>
        <w:sectPr>
          <w:pgSz w:w="12240" w:h="15840"/>
          <w:pgMar w:header="728" w:footer="788" w:top="1540" w:bottom="980" w:left="1160" w:right="420"/>
        </w:sectPr>
      </w:pPr>
    </w:p>
    <w:p>
      <w:pPr>
        <w:pStyle w:val="BodyText"/>
        <w:spacing w:before="3"/>
        <w:rPr>
          <w:sz w:val="15"/>
        </w:rPr>
      </w:pPr>
    </w:p>
    <w:p>
      <w:pPr>
        <w:pStyle w:val="BodyText"/>
        <w:spacing w:before="95"/>
        <w:ind w:left="870" w:right="1312"/>
      </w:pPr>
      <w:r>
        <w:rPr/>
        <w:t>permitted CII sites with five (5) or more acres of total area</w:t>
      </w:r>
      <w:r>
        <w:rPr>
          <w:position w:val="8"/>
          <w:sz w:val="16"/>
        </w:rPr>
        <w:t>1</w:t>
      </w:r>
      <w:r>
        <w:rPr/>
        <w:t>. Federal regulations define “stormwater” as “stormwater runoff, snow melt runoff, and surface runoff and drainage.” (40 CFR § 122.26(b)(13)). While “surface runoff and drainage” is not defined in federal law, USEPA’s preamble to its final stormwater regulations demonstrates that the term is related to precipitation events such as rain and/or snowmelt. (55 Federal Register 47990, 47995-96 (Nov. 16, 1990)). NSWDs consist of all discharges that do not originate from precipitation events. NSWDs are prohibited unless authorized under a separate NPDES permit; composed of natural flows; the result of emergency firefighting activities; or conditionally exempted as discussed in section 5 of the Order.</w:t>
      </w:r>
    </w:p>
    <w:p>
      <w:pPr>
        <w:pStyle w:val="BodyText"/>
      </w:pPr>
    </w:p>
    <w:p>
      <w:pPr>
        <w:pStyle w:val="BodyText"/>
        <w:spacing w:before="1"/>
        <w:ind w:left="870" w:right="1139"/>
      </w:pPr>
      <w:r>
        <w:rPr/>
        <w:t>The Los Angeles Water Board estimates that 640 Dischargers may be registering for coverage under this General Permit.</w:t>
      </w:r>
    </w:p>
    <w:p>
      <w:pPr>
        <w:pStyle w:val="BodyText"/>
        <w:spacing w:before="9"/>
        <w:rPr>
          <w:sz w:val="20"/>
        </w:rPr>
      </w:pPr>
    </w:p>
    <w:p>
      <w:pPr>
        <w:pStyle w:val="Heading1"/>
        <w:numPr>
          <w:ilvl w:val="0"/>
          <w:numId w:val="30"/>
        </w:numPr>
        <w:tabs>
          <w:tab w:pos="640" w:val="left" w:leader="none"/>
        </w:tabs>
        <w:spacing w:line="240" w:lineRule="auto" w:before="1" w:after="0"/>
        <w:ind w:left="639" w:right="1337" w:hanging="360"/>
        <w:jc w:val="left"/>
      </w:pPr>
      <w:r>
        <w:rPr/>
        <w:t>BACKGROUND ON RESIDUAL DESIGNATION OF CII FACILITIES AND NEED FOR GENERAL PERMIT;</w:t>
      </w:r>
      <w:r>
        <w:rPr>
          <w:spacing w:val="-2"/>
        </w:rPr>
        <w:t> </w:t>
      </w:r>
      <w:r>
        <w:rPr/>
        <w:t>AUTHORITIES.</w:t>
      </w:r>
    </w:p>
    <w:p>
      <w:pPr>
        <w:pStyle w:val="BodyText"/>
        <w:spacing w:before="9"/>
        <w:rPr>
          <w:b/>
          <w:sz w:val="20"/>
        </w:rPr>
      </w:pPr>
    </w:p>
    <w:p>
      <w:pPr>
        <w:pStyle w:val="ListParagraph"/>
        <w:numPr>
          <w:ilvl w:val="1"/>
          <w:numId w:val="30"/>
        </w:numPr>
        <w:tabs>
          <w:tab w:pos="871" w:val="left" w:leader="none"/>
        </w:tabs>
        <w:spacing w:line="240" w:lineRule="auto" w:before="1" w:after="0"/>
        <w:ind w:left="870" w:right="0" w:hanging="592"/>
        <w:jc w:val="left"/>
        <w:rPr>
          <w:b/>
          <w:sz w:val="24"/>
        </w:rPr>
      </w:pPr>
      <w:r>
        <w:rPr>
          <w:b/>
          <w:sz w:val="24"/>
        </w:rPr>
        <w:t>Petitions for Residual Designation of CII</w:t>
      </w:r>
      <w:r>
        <w:rPr>
          <w:b/>
          <w:spacing w:val="-3"/>
          <w:sz w:val="24"/>
        </w:rPr>
        <w:t> </w:t>
      </w:r>
      <w:r>
        <w:rPr>
          <w:b/>
          <w:sz w:val="24"/>
        </w:rPr>
        <w:t>Facilities.</w:t>
      </w:r>
    </w:p>
    <w:p>
      <w:pPr>
        <w:pStyle w:val="BodyText"/>
        <w:rPr>
          <w:b/>
        </w:rPr>
      </w:pPr>
    </w:p>
    <w:p>
      <w:pPr>
        <w:pStyle w:val="BodyText"/>
        <w:ind w:left="870" w:right="1072"/>
      </w:pPr>
      <w:r>
        <w:rPr/>
        <w:t>On September 17, 2015, American Rivers, the Natural Resources Defense Council, and the Los Angeles Waterkeeper (Petitioners) petitioned the Regional Administrator of USEPA Region 9 to make "a determination that currently unpermitted stormwater discharges from privately-owned commercial, industrial, and institutional (CII) sites are contributing to violations of water quality standards” in the Dominguez Channel/Inner and Outer Los Angeles and Long Beach Harbor Watershed and the Los Cerritos Channel/Alamitos Bay Watershed, and therefore require NPDES permits pursuant to CWA section 402(p) (Petitions).</w:t>
      </w:r>
    </w:p>
    <w:p>
      <w:pPr>
        <w:pStyle w:val="BodyText"/>
        <w:spacing w:before="10"/>
        <w:rPr>
          <w:sz w:val="23"/>
        </w:rPr>
      </w:pPr>
    </w:p>
    <w:p>
      <w:pPr>
        <w:pStyle w:val="BodyText"/>
        <w:ind w:left="870" w:right="1752"/>
      </w:pPr>
      <w:r>
        <w:rPr/>
        <w:t>In the Petitions, the Petitioners asserted the following: (1) portions of the watersheds are impaired by copper, zinc, and/or ammonia pollution, (2) stormwater discharges from CII sites contain copper, zinc, and ammonia, contributing to water quality impairments in the watersheds, and (3) existing programs are not adequately addressing the contributions from CII sites to</w:t>
      </w:r>
    </w:p>
    <w:p>
      <w:pPr>
        <w:pStyle w:val="BodyText"/>
        <w:spacing w:before="10"/>
        <w:rPr>
          <w:sz w:val="29"/>
        </w:rPr>
      </w:pPr>
      <w:r>
        <w:rPr/>
        <w:pict>
          <v:shape style="position:absolute;margin-left:72pt;margin-top:19.447945pt;width:144pt;height:.1pt;mso-position-horizontal-relative:page;mso-position-vertical-relative:paragraph;z-index:-251641856;mso-wrap-distance-left:0;mso-wrap-distance-right:0" coordorigin="1440,389" coordsize="2880,0" path="m1440,389l4320,389e" filled="false" stroked="true" strokeweight=".600010pt" strokecolor="#000000">
            <v:path arrowok="t"/>
            <v:stroke dashstyle="solid"/>
            <w10:wrap type="topAndBottom"/>
          </v:shape>
        </w:pict>
      </w:r>
    </w:p>
    <w:p>
      <w:pPr>
        <w:pStyle w:val="BodyText"/>
        <w:rPr>
          <w:sz w:val="20"/>
        </w:rPr>
      </w:pPr>
    </w:p>
    <w:p>
      <w:pPr>
        <w:pStyle w:val="BodyText"/>
        <w:spacing w:before="5"/>
        <w:rPr>
          <w:sz w:val="22"/>
        </w:rPr>
      </w:pPr>
    </w:p>
    <w:p>
      <w:pPr>
        <w:spacing w:before="95"/>
        <w:ind w:left="279" w:right="1100" w:firstLine="0"/>
        <w:jc w:val="left"/>
        <w:rPr>
          <w:sz w:val="20"/>
        </w:rPr>
      </w:pPr>
      <w:r>
        <w:rPr>
          <w:position w:val="7"/>
          <w:sz w:val="13"/>
        </w:rPr>
        <w:t>1 </w:t>
      </w:r>
      <w:r>
        <w:rPr>
          <w:sz w:val="20"/>
        </w:rPr>
        <w:t>EPA’s revised preliminary designation does not include facilities at airports in these watersheds. Most impervious surfaces at the airports are not controlled by private entities, but rather by municipal departments and as such, are already regulated under Regional Municipal Separate Sewer System NPDES Permit Order No R4-2021-0105. EPA’s revised preliminary designation includes all publicly owned and privately operated CII facilities with five or more acres total area at the Ports of Los Angeles and Long Beach, given the high degree of imperviousness at the Ports. For example, the Port of Long Beach is “3,200 acres of mostly paved surfaces constructed on top of fill material where the ocean has been converted to land.” </w:t>
      </w:r>
      <w:r>
        <w:rPr>
          <w:i/>
          <w:sz w:val="20"/>
        </w:rPr>
        <w:t>Adapting LID to a Port Environment</w:t>
      </w:r>
      <w:r>
        <w:rPr>
          <w:sz w:val="20"/>
        </w:rPr>
        <w:t>, Stormwater Report, Water Environment Federation, October 17, 2015 at 1. See also </w:t>
      </w:r>
      <w:r>
        <w:rPr>
          <w:i/>
          <w:sz w:val="20"/>
        </w:rPr>
        <w:t>Port of Long Beach and Port of Los Angeles, Water </w:t>
      </w:r>
      <w:r>
        <w:rPr>
          <w:i/>
          <w:sz w:val="20"/>
        </w:rPr>
        <w:t>Resources Action Plan, Final Report </w:t>
      </w:r>
      <w:r>
        <w:rPr>
          <w:sz w:val="20"/>
        </w:rPr>
        <w:t>August 2009, where the Port of Long Beach is described as “largely impervious and highly industrialized” at 21</w:t>
      </w:r>
    </w:p>
    <w:p>
      <w:pPr>
        <w:spacing w:after="0"/>
        <w:jc w:val="left"/>
        <w:rPr>
          <w:sz w:val="20"/>
        </w:rPr>
        <w:sectPr>
          <w:pgSz w:w="12240" w:h="15840"/>
          <w:pgMar w:header="728" w:footer="788" w:top="1540" w:bottom="980" w:left="1160" w:right="420"/>
        </w:sectPr>
      </w:pPr>
    </w:p>
    <w:p>
      <w:pPr>
        <w:pStyle w:val="BodyText"/>
        <w:spacing w:before="11"/>
        <w:rPr>
          <w:sz w:val="15"/>
        </w:rPr>
      </w:pPr>
    </w:p>
    <w:p>
      <w:pPr>
        <w:pStyle w:val="BodyText"/>
        <w:spacing w:before="92"/>
        <w:ind w:left="870" w:right="1152"/>
      </w:pPr>
      <w:r>
        <w:rPr/>
        <w:t>impairments in the watersheds. In support, the Petitioners cited USEPA guidance and reports in which USEPA concluded that urban stormwater discharges are sources of pollutants. Petitioners also pointed to various reports and studies, including the National Stormwater Quality Database, to illustrate typical pollutant loads from different land uses, including CII sites. Finally, the Petitioners cited TMDLs established by the State and USEPA to illustrate the specific sources of pollutants leading to impairments in the watersheds.</w:t>
      </w:r>
    </w:p>
    <w:p>
      <w:pPr>
        <w:pStyle w:val="BodyText"/>
        <w:spacing w:before="2"/>
      </w:pPr>
    </w:p>
    <w:p>
      <w:pPr>
        <w:pStyle w:val="BodyText"/>
        <w:spacing w:line="237" w:lineRule="auto" w:before="1"/>
        <w:ind w:left="870" w:right="1022"/>
      </w:pPr>
      <w:r>
        <w:rPr/>
        <w:t>On October 17, 2016, the Regional Administrator declined to designate the CII sites in the watersheds, concluding that other programs were already in place to adequately address the water quality impairments in the watersheds (2016 Response).</w:t>
      </w:r>
      <w:r>
        <w:rPr>
          <w:position w:val="8"/>
          <w:sz w:val="16"/>
        </w:rPr>
        <w:t>2 </w:t>
      </w:r>
      <w:r>
        <w:rPr/>
        <w:t>On May 8, 2017, the Petitioners filed a complaint in the US District Court Central District of California challenging USEPA Region 9’s decision.</w:t>
      </w:r>
      <w:r>
        <w:rPr>
          <w:position w:val="8"/>
          <w:sz w:val="16"/>
        </w:rPr>
        <w:t>3 </w:t>
      </w:r>
      <w:r>
        <w:rPr/>
        <w:t>Plaintiffs brought suit on two grounds: (1) failure to perform a nondiscretionary duty under the Clean Water Act’s (CWA) citizen-suit provision, 33 USC § 1365(a)(2); and (2) in the alternative, arbitrary and capricious agency action in violation of the Administrative Procedure Act (APA), 5 USC § 706(2). The United States District Court for the Central District of California dismissed the CWA claim, but allowed the APA claim to proceed.</w:t>
      </w:r>
      <w:r>
        <w:rPr>
          <w:position w:val="8"/>
          <w:sz w:val="16"/>
        </w:rPr>
        <w:t>4 </w:t>
      </w:r>
      <w:r>
        <w:rPr/>
        <w:t>In a published decision, the Court concluded that EPA acted arbitrarily and capriciously in leaving the CII stormwater discharges unregulated.</w:t>
      </w:r>
      <w:r>
        <w:rPr>
          <w:position w:val="8"/>
          <w:sz w:val="16"/>
        </w:rPr>
        <w:t>5 </w:t>
      </w:r>
      <w:r>
        <w:rPr/>
        <w:t>The Court explained that, “[w]here, as here, EPA has determined that a stormwater discharge contributes to a violation of a water quality standard, the [CWA] requires EPA to either (1) engage in the NPDES permitting process for the discharge at issue or (2) prohibit the discharge.”</w:t>
      </w:r>
      <w:r>
        <w:rPr>
          <w:position w:val="8"/>
          <w:sz w:val="16"/>
        </w:rPr>
        <w:t>6 </w:t>
      </w:r>
      <w:r>
        <w:rPr/>
        <w:t>In addition, the Court found that EPA considered a factor “divorced from the text” of the CWA, namely, whether other federal, state, or local programs (such as the MS4) adequately address the known stormwater discharge contribution to a violation of water quality standards.</w:t>
      </w:r>
      <w:r>
        <w:rPr>
          <w:position w:val="8"/>
          <w:sz w:val="16"/>
        </w:rPr>
        <w:t>7 </w:t>
      </w:r>
      <w:r>
        <w:rPr/>
        <w:t>Based on its ruling and the facts before it, the Court gave EPA a choice: Either engage in the NPDES permitting process for</w:t>
      </w:r>
      <w:r>
        <w:rPr>
          <w:spacing w:val="-27"/>
        </w:rPr>
        <w:t> </w:t>
      </w:r>
      <w:r>
        <w:rPr/>
        <w:t>stormwater</w:t>
      </w:r>
    </w:p>
    <w:p>
      <w:pPr>
        <w:pStyle w:val="BodyText"/>
        <w:rPr>
          <w:sz w:val="20"/>
        </w:rPr>
      </w:pPr>
    </w:p>
    <w:p>
      <w:pPr>
        <w:pStyle w:val="BodyText"/>
        <w:spacing w:before="6"/>
        <w:rPr>
          <w:sz w:val="28"/>
        </w:rPr>
      </w:pPr>
      <w:r>
        <w:rPr/>
        <w:pict>
          <v:shape style="position:absolute;margin-left:72pt;margin-top:18.657192pt;width:144pt;height:.1pt;mso-position-horizontal-relative:page;mso-position-vertical-relative:paragraph;z-index:-251640832;mso-wrap-distance-left:0;mso-wrap-distance-right:0" coordorigin="1440,373" coordsize="2880,0" path="m1440,373l4320,373e" filled="false" stroked="true" strokeweight=".600010pt" strokecolor="#000000">
            <v:path arrowok="t"/>
            <v:stroke dashstyle="solid"/>
            <w10:wrap type="topAndBottom"/>
          </v:shape>
        </w:pict>
      </w:r>
    </w:p>
    <w:p>
      <w:pPr>
        <w:pStyle w:val="BodyText"/>
        <w:rPr>
          <w:sz w:val="20"/>
        </w:rPr>
      </w:pPr>
    </w:p>
    <w:p>
      <w:pPr>
        <w:pStyle w:val="BodyText"/>
        <w:spacing w:before="5"/>
        <w:rPr>
          <w:sz w:val="22"/>
        </w:rPr>
      </w:pPr>
    </w:p>
    <w:p>
      <w:pPr>
        <w:pStyle w:val="BodyText"/>
        <w:spacing w:before="95"/>
        <w:ind w:left="280"/>
      </w:pPr>
      <w:r>
        <w:rPr>
          <w:position w:val="8"/>
          <w:sz w:val="16"/>
        </w:rPr>
        <w:t>2 </w:t>
      </w:r>
      <w:r>
        <w:rPr/>
        <w:t>USEPA Region 9. 2016. Dominguez Petition Denial and Los Cerritos Petition Denial.</w:t>
      </w:r>
    </w:p>
    <w:p>
      <w:pPr>
        <w:spacing w:before="235"/>
        <w:ind w:left="280" w:right="0" w:firstLine="0"/>
        <w:jc w:val="left"/>
        <w:rPr>
          <w:sz w:val="24"/>
        </w:rPr>
      </w:pPr>
      <w:r>
        <w:rPr>
          <w:position w:val="8"/>
          <w:sz w:val="16"/>
        </w:rPr>
        <w:t>3 </w:t>
      </w:r>
      <w:r>
        <w:rPr>
          <w:i/>
          <w:sz w:val="24"/>
        </w:rPr>
        <w:t>Los Angeles Waterkeeper et al. v. Pruitt </w:t>
      </w:r>
      <w:r>
        <w:rPr>
          <w:sz w:val="24"/>
        </w:rPr>
        <w:t>(2018) 320 F.Supp.3d 1115, 1120 (Pruitt I).</w:t>
      </w:r>
    </w:p>
    <w:p>
      <w:pPr>
        <w:spacing w:before="235"/>
        <w:ind w:left="280" w:right="1035" w:firstLine="0"/>
        <w:jc w:val="left"/>
        <w:rPr>
          <w:sz w:val="24"/>
        </w:rPr>
      </w:pPr>
      <w:r>
        <w:rPr>
          <w:position w:val="8"/>
          <w:sz w:val="16"/>
        </w:rPr>
        <w:t>4 </w:t>
      </w:r>
      <w:r>
        <w:rPr>
          <w:i/>
          <w:sz w:val="24"/>
        </w:rPr>
        <w:t>See, Pruitt I, supra, </w:t>
      </w:r>
      <w:r>
        <w:rPr>
          <w:sz w:val="24"/>
        </w:rPr>
        <w:t>at pp. 1120-1121</w:t>
      </w:r>
      <w:r>
        <w:rPr>
          <w:i/>
          <w:sz w:val="24"/>
        </w:rPr>
        <w:t>; see, also, Los Angeles Waterkeeper et al. v. </w:t>
      </w:r>
      <w:r>
        <w:rPr>
          <w:i/>
          <w:sz w:val="24"/>
        </w:rPr>
        <w:t>Pruitt </w:t>
      </w:r>
      <w:r>
        <w:rPr>
          <w:sz w:val="24"/>
        </w:rPr>
        <w:t>(2018) 2018 WL 6071084.</w:t>
      </w:r>
    </w:p>
    <w:p>
      <w:pPr>
        <w:pStyle w:val="BodyText"/>
        <w:spacing w:before="5"/>
        <w:rPr>
          <w:sz w:val="20"/>
        </w:rPr>
      </w:pPr>
    </w:p>
    <w:p>
      <w:pPr>
        <w:spacing w:before="0"/>
        <w:ind w:left="280" w:right="0" w:firstLine="0"/>
        <w:jc w:val="left"/>
        <w:rPr>
          <w:sz w:val="24"/>
        </w:rPr>
      </w:pPr>
      <w:r>
        <w:rPr>
          <w:position w:val="8"/>
          <w:sz w:val="16"/>
        </w:rPr>
        <w:t>5 </w:t>
      </w:r>
      <w:r>
        <w:rPr>
          <w:i/>
          <w:sz w:val="24"/>
        </w:rPr>
        <w:t>Pruitt I, supra, </w:t>
      </w:r>
      <w:r>
        <w:rPr>
          <w:sz w:val="24"/>
        </w:rPr>
        <w:t>at pp. 1121-1122.</w:t>
      </w:r>
    </w:p>
    <w:p>
      <w:pPr>
        <w:spacing w:before="235"/>
        <w:ind w:left="280" w:right="0" w:firstLine="0"/>
        <w:jc w:val="left"/>
        <w:rPr>
          <w:i/>
          <w:sz w:val="24"/>
        </w:rPr>
      </w:pPr>
      <w:r>
        <w:rPr>
          <w:position w:val="8"/>
          <w:sz w:val="16"/>
        </w:rPr>
        <w:t>6 </w:t>
      </w:r>
      <w:r>
        <w:rPr>
          <w:i/>
          <w:sz w:val="24"/>
        </w:rPr>
        <w:t>Id.</w:t>
      </w:r>
    </w:p>
    <w:p>
      <w:pPr>
        <w:spacing w:before="235"/>
        <w:ind w:left="280" w:right="0" w:firstLine="0"/>
        <w:jc w:val="left"/>
        <w:rPr>
          <w:sz w:val="24"/>
        </w:rPr>
      </w:pPr>
      <w:r>
        <w:rPr>
          <w:position w:val="8"/>
          <w:sz w:val="16"/>
        </w:rPr>
        <w:t>7 </w:t>
      </w:r>
      <w:r>
        <w:rPr>
          <w:i/>
          <w:sz w:val="24"/>
        </w:rPr>
        <w:t>Id.</w:t>
      </w:r>
      <w:r>
        <w:rPr>
          <w:sz w:val="24"/>
        </w:rPr>
        <w:t>, at p. 1125</w:t>
      </w:r>
    </w:p>
    <w:p>
      <w:pPr>
        <w:spacing w:after="0"/>
        <w:jc w:val="left"/>
        <w:rPr>
          <w:sz w:val="24"/>
        </w:rPr>
        <w:sectPr>
          <w:pgSz w:w="12240" w:h="15840"/>
          <w:pgMar w:header="728" w:footer="788" w:top="1540" w:bottom="980" w:left="1160" w:right="420"/>
        </w:sectPr>
      </w:pPr>
    </w:p>
    <w:p>
      <w:pPr>
        <w:pStyle w:val="BodyText"/>
        <w:spacing w:before="11"/>
        <w:rPr>
          <w:sz w:val="15"/>
        </w:rPr>
      </w:pPr>
    </w:p>
    <w:p>
      <w:pPr>
        <w:pStyle w:val="BodyText"/>
        <w:spacing w:line="235" w:lineRule="auto" w:before="97"/>
        <w:ind w:left="870" w:right="1446"/>
        <w:rPr>
          <w:sz w:val="16"/>
        </w:rPr>
      </w:pPr>
      <w:r>
        <w:rPr/>
        <w:t>discharges from the CII Facilities, or enforce the CWA’s total prohibition on the discharge of such pollutants.</w:t>
      </w:r>
      <w:r>
        <w:rPr>
          <w:position w:val="8"/>
          <w:sz w:val="16"/>
        </w:rPr>
        <w:t>8</w:t>
      </w:r>
    </w:p>
    <w:p>
      <w:pPr>
        <w:pStyle w:val="Heading1"/>
        <w:numPr>
          <w:ilvl w:val="1"/>
          <w:numId w:val="30"/>
        </w:numPr>
        <w:tabs>
          <w:tab w:pos="871" w:val="left" w:leader="none"/>
        </w:tabs>
        <w:spacing w:line="240" w:lineRule="auto" w:before="241" w:after="0"/>
        <w:ind w:left="870" w:right="0" w:hanging="591"/>
        <w:jc w:val="left"/>
      </w:pPr>
      <w:r>
        <w:rPr/>
        <w:t>U.S. EPA’s Residual Designation of CII</w:t>
      </w:r>
      <w:r>
        <w:rPr>
          <w:spacing w:val="-2"/>
        </w:rPr>
        <w:t> </w:t>
      </w:r>
      <w:r>
        <w:rPr/>
        <w:t>Facilities.</w:t>
      </w:r>
    </w:p>
    <w:p>
      <w:pPr>
        <w:pStyle w:val="BodyText"/>
        <w:rPr>
          <w:b/>
        </w:rPr>
      </w:pPr>
    </w:p>
    <w:p>
      <w:pPr>
        <w:pStyle w:val="BodyText"/>
        <w:ind w:left="870" w:right="1060"/>
      </w:pPr>
      <w:r>
        <w:rPr/>
        <w:t>CWA sections 402(p)(2)(E) and 402(p)(6), and 40 CFR sections 122.26(a)(9)(i)(C) and (D) provide that U.S. EPA and authorized states may designate additional stormwater discharges as requiring NPDES permits where it is determined that stormwater controls are needed for the discharge based on wasteload allocations (WLAs) that are part of total maximum daily loads (TMDLs) that address the pollutants of concern, or the discharge, or category of discharges within a geographic area, contributes to a violation of a water quality standard or is a significant contributor of pollutants to waters of the United States. This authority is commonly referred to as Residual Designation Authority (RDA). Concurrent with the issuance of this permit, U.S. EPA is exercising its RDA for CII facilities.</w:t>
      </w:r>
    </w:p>
    <w:p>
      <w:pPr>
        <w:pStyle w:val="BodyText"/>
      </w:pPr>
    </w:p>
    <w:p>
      <w:pPr>
        <w:pStyle w:val="BodyText"/>
        <w:spacing w:before="1"/>
        <w:ind w:left="870" w:right="1193"/>
      </w:pPr>
      <w:r>
        <w:rPr/>
        <w:t>After considering the data it possessed at the time of its 2016 Response, plus additional data gathered for the re-evaluation, USEPA exercised its RDA for certain designated discharges in the Dominguez Channel/Inner and Outer Los Angeles and Long Beach Harbor Watershed and the Los Cerritos Channel/Alamitos Bay Watershed pursuant to 40 CFR section 122.26(a)(9)(i)(D).</w:t>
      </w:r>
    </w:p>
    <w:p>
      <w:pPr>
        <w:pStyle w:val="BodyText"/>
        <w:ind w:left="870" w:right="1030"/>
      </w:pPr>
      <w:r>
        <w:rPr/>
        <w:t>U.S. EPA concluded that CII facilities subject to the designation are significant contributors of pollutants and water quality standards violations. The designation applies to approximately 640 privately-owned CII facilities in the Dominguez Channel/Inner and Outer Los Angeles and Long Beach Harbor Watershed and the Los Cerritos Channel/Alamitos Bay Watershed.</w:t>
      </w:r>
    </w:p>
    <w:p>
      <w:pPr>
        <w:pStyle w:val="BodyText"/>
        <w:spacing w:before="10"/>
        <w:rPr>
          <w:sz w:val="23"/>
        </w:rPr>
      </w:pPr>
    </w:p>
    <w:p>
      <w:pPr>
        <w:pStyle w:val="BodyText"/>
        <w:ind w:left="870" w:right="1023"/>
      </w:pPr>
      <w:r>
        <w:rPr/>
        <w:t>Part of the designation includes industrial facilities with five or more acres of total area that are already covered under the General Permit for Stormwater Discharges Associated with Industrial Activities (NPDES No. CAS000001; Order 2014-0057-DWQ amended by Order 2015-0122-DWQ as amended in 2015 and 2018) (IGP). The U.S. EPA designation covers the non-industrial portions of the facilities (e.g., parking lots, rooftops) that are not covered by the IGP. There are approximately 190 industrial facilities with five or more acres of total area in the Dominguez Channel/Inner and Outer Los Angeles and Long Beach Harbor Watershed and the Los Cerritos Channel/Alamitos Bay Watershed that are affected by the designation. A facility must enroll in this Order for the non-industrial portions of its</w:t>
      </w:r>
      <w:r>
        <w:rPr>
          <w:spacing w:val="-1"/>
        </w:rPr>
        <w:t> </w:t>
      </w:r>
      <w:r>
        <w:rPr/>
        <w:t>facility.</w:t>
      </w:r>
    </w:p>
    <w:p>
      <w:pPr>
        <w:pStyle w:val="BodyText"/>
        <w:spacing w:before="10"/>
        <w:rPr>
          <w:sz w:val="20"/>
        </w:rPr>
      </w:pPr>
    </w:p>
    <w:p>
      <w:pPr>
        <w:pStyle w:val="Heading1"/>
        <w:numPr>
          <w:ilvl w:val="1"/>
          <w:numId w:val="30"/>
        </w:numPr>
        <w:tabs>
          <w:tab w:pos="871" w:val="left" w:leader="none"/>
        </w:tabs>
        <w:spacing w:line="240" w:lineRule="auto" w:before="1" w:after="0"/>
        <w:ind w:left="870" w:right="1642" w:hanging="591"/>
        <w:jc w:val="left"/>
      </w:pPr>
      <w:r>
        <w:rPr/>
        <w:t>Nature of Residual Designation Discharges as a Source of Pollutants</w:t>
      </w:r>
      <w:r>
        <w:rPr>
          <w:spacing w:val="-44"/>
        </w:rPr>
        <w:t> </w:t>
      </w:r>
      <w:r>
        <w:rPr/>
        <w:t>to Receiving</w:t>
      </w:r>
      <w:r>
        <w:rPr>
          <w:spacing w:val="-1"/>
        </w:rPr>
        <w:t> </w:t>
      </w:r>
      <w:r>
        <w:rPr/>
        <w:t>Waters.</w:t>
      </w:r>
    </w:p>
    <w:p>
      <w:pPr>
        <w:pStyle w:val="BodyText"/>
        <w:spacing w:before="10"/>
        <w:rPr>
          <w:b/>
          <w:sz w:val="12"/>
        </w:rPr>
      </w:pPr>
      <w:r>
        <w:rPr/>
        <w:pict>
          <v:shape style="position:absolute;margin-left:72pt;margin-top:9.688295pt;width:144pt;height:.1pt;mso-position-horizontal-relative:page;mso-position-vertical-relative:paragraph;z-index:-251639808;mso-wrap-distance-left:0;mso-wrap-distance-right:0" coordorigin="1440,194" coordsize="2880,0" path="m1440,194l4320,194e" filled="false" stroked="true" strokeweight=".600010pt" strokecolor="#000000">
            <v:path arrowok="t"/>
            <v:stroke dashstyle="solid"/>
            <w10:wrap type="topAndBottom"/>
          </v:shape>
        </w:pict>
      </w:r>
    </w:p>
    <w:p>
      <w:pPr>
        <w:pStyle w:val="BodyText"/>
        <w:rPr>
          <w:b/>
          <w:sz w:val="20"/>
        </w:rPr>
      </w:pPr>
    </w:p>
    <w:p>
      <w:pPr>
        <w:pStyle w:val="BodyText"/>
        <w:spacing w:before="5"/>
        <w:rPr>
          <w:b/>
          <w:sz w:val="22"/>
        </w:rPr>
      </w:pPr>
    </w:p>
    <w:p>
      <w:pPr>
        <w:spacing w:before="95"/>
        <w:ind w:left="280" w:right="0" w:firstLine="0"/>
        <w:jc w:val="left"/>
        <w:rPr>
          <w:sz w:val="24"/>
        </w:rPr>
      </w:pPr>
      <w:r>
        <w:rPr>
          <w:position w:val="8"/>
          <w:sz w:val="16"/>
        </w:rPr>
        <w:t>8 </w:t>
      </w:r>
      <w:r>
        <w:rPr>
          <w:i/>
          <w:sz w:val="24"/>
        </w:rPr>
        <w:t>Id.</w:t>
      </w:r>
      <w:r>
        <w:rPr>
          <w:sz w:val="24"/>
        </w:rPr>
        <w:t>, at p. 1126.</w:t>
      </w:r>
    </w:p>
    <w:p>
      <w:pPr>
        <w:spacing w:after="0"/>
        <w:jc w:val="left"/>
        <w:rPr>
          <w:sz w:val="24"/>
        </w:rPr>
        <w:sectPr>
          <w:pgSz w:w="12240" w:h="15840"/>
          <w:pgMar w:header="728" w:footer="788" w:top="1540" w:bottom="980" w:left="1160" w:right="420"/>
        </w:sectPr>
      </w:pPr>
    </w:p>
    <w:p>
      <w:pPr>
        <w:pStyle w:val="BodyText"/>
        <w:rPr>
          <w:sz w:val="20"/>
        </w:rPr>
      </w:pPr>
    </w:p>
    <w:p>
      <w:pPr>
        <w:pStyle w:val="BodyText"/>
        <w:spacing w:before="11"/>
        <w:rPr>
          <w:sz w:val="19"/>
        </w:rPr>
      </w:pPr>
    </w:p>
    <w:p>
      <w:pPr>
        <w:pStyle w:val="BodyText"/>
        <w:spacing w:before="92"/>
        <w:ind w:left="870" w:right="1046"/>
      </w:pPr>
      <w:r>
        <w:rPr/>
        <w:t>CII facilities contain significant amounts of impervious areas, such as parking lots and rooftops, that are exposed to a variety of pollutants. Because impervious surfaces allow for little or no infiltration pollutants can build up and run off CII facilities during rain events and as a result of NSWDs.</w:t>
      </w:r>
      <w:r>
        <w:rPr>
          <w:position w:val="8"/>
          <w:sz w:val="16"/>
        </w:rPr>
        <w:t>9 </w:t>
      </w:r>
      <w:r>
        <w:rPr/>
        <w:t>The runoff then enters the MS4 or discharges directly to receiving waters in the Dominguez Channel/Inner and Outer Los Angeles and Long Beach Harbor Watershed and the Los Cerritos Channel/Alamitos Bay Watershed. Research shows that the volume of stormwater and associated pollutant discharge increases with increasing impervious area.</w:t>
      </w:r>
    </w:p>
    <w:p>
      <w:pPr>
        <w:pStyle w:val="BodyText"/>
        <w:spacing w:line="237" w:lineRule="auto"/>
        <w:ind w:left="870" w:right="1058"/>
        <w:rPr>
          <w:sz w:val="16"/>
        </w:rPr>
      </w:pPr>
      <w:r>
        <w:rPr/>
        <w:t>Pollutants can come from tire and brake pad wear, leaking automotive fluids, litter, and air deposition, and include metals, indicator bacteria, nutrients, pH, trash, legacy pesticides, and other organic chemicals.</w:t>
      </w:r>
      <w:r>
        <w:rPr>
          <w:position w:val="8"/>
          <w:sz w:val="16"/>
        </w:rPr>
        <w:t>10,11,12</w:t>
      </w:r>
    </w:p>
    <w:p>
      <w:pPr>
        <w:pStyle w:val="BodyText"/>
        <w:spacing w:before="10"/>
        <w:rPr>
          <w:sz w:val="23"/>
        </w:rPr>
      </w:pPr>
    </w:p>
    <w:p>
      <w:pPr>
        <w:pStyle w:val="BodyText"/>
        <w:ind w:left="870" w:right="1049"/>
      </w:pPr>
      <w:r>
        <w:rPr/>
        <w:t>As part of its residual designation of CII facilities, U.S. EPA conducted stormwater modeling to estimate the contribution of pollutant loading from CII facilities in the Dominguez Channel/Inner and Outer Los Angeles and Long Beach Harbor Watershed and the Los Cerritos Channel/Alamitos Bay Watershed. While there are other constituents of concern in these watersheds, including indicator bacteria, lead, trash, PCBs, PAHs, nutrients, and legacy pesticides, the model concentrated on copper and zinc because they are two of the main constituents of concern that cause impairments in both watersheds. In addition, zinc is commonly considered a “limiting pollutant” in watershed management programs developed pursuant to the MS4 permit, which means that zinc requires the greatest reduction of all pollutants to achieve water quality standards. If the discharge of zinc is controlled, then the discharge of other pollutants is controlled too, making zinc a useful surrogate to examine the discharge of all pollutants of concern from CII facilities. The modeling predicted that CII facilities with five or more acres of impervious surface area contribute a zinc load of 11,000 kg/year and approximately 32% of the total zinc load in the Dominguez Channel/Inner and Outer Los Angeles and Long Beach Harbor Watershed and the Los Cerritos Channel/Alamitos Bay</w:t>
      </w:r>
      <w:r>
        <w:rPr>
          <w:spacing w:val="-12"/>
        </w:rPr>
        <w:t> </w:t>
      </w:r>
      <w:r>
        <w:rPr/>
        <w:t>Watershed.</w:t>
      </w:r>
    </w:p>
    <w:p>
      <w:pPr>
        <w:pStyle w:val="BodyText"/>
        <w:spacing w:before="11"/>
        <w:rPr>
          <w:sz w:val="23"/>
        </w:rPr>
      </w:pPr>
    </w:p>
    <w:p>
      <w:pPr>
        <w:pStyle w:val="BodyText"/>
        <w:ind w:left="870" w:right="1231"/>
      </w:pPr>
      <w:r>
        <w:rPr/>
        <w:t>In addition to national reports and U.S. EPA modeling, local studies demonstrate that CII facilities are sources of pollutants. A survey of land use contributions of</w:t>
      </w:r>
    </w:p>
    <w:p>
      <w:pPr>
        <w:pStyle w:val="BodyText"/>
        <w:spacing w:before="1"/>
        <w:rPr>
          <w:sz w:val="16"/>
        </w:rPr>
      </w:pPr>
      <w:r>
        <w:rPr/>
        <w:pict>
          <v:shape style="position:absolute;margin-left:72pt;margin-top:11.519214pt;width:144pt;height:.1pt;mso-position-horizontal-relative:page;mso-position-vertical-relative:paragraph;z-index:-251638784;mso-wrap-distance-left:0;mso-wrap-distance-right:0" coordorigin="1440,230" coordsize="2880,0" path="m1440,230l4320,230e" filled="false" stroked="true" strokeweight=".59999pt" strokecolor="#000000">
            <v:path arrowok="t"/>
            <v:stroke dashstyle="solid"/>
            <w10:wrap type="topAndBottom"/>
          </v:shape>
        </w:pict>
      </w:r>
    </w:p>
    <w:p>
      <w:pPr>
        <w:pStyle w:val="BodyText"/>
        <w:rPr>
          <w:sz w:val="20"/>
        </w:rPr>
      </w:pPr>
    </w:p>
    <w:p>
      <w:pPr>
        <w:pStyle w:val="BodyText"/>
        <w:spacing w:before="5"/>
        <w:rPr>
          <w:sz w:val="22"/>
        </w:rPr>
      </w:pPr>
    </w:p>
    <w:p>
      <w:pPr>
        <w:spacing w:before="95"/>
        <w:ind w:left="280" w:right="0" w:firstLine="0"/>
        <w:jc w:val="left"/>
        <w:rPr>
          <w:sz w:val="24"/>
        </w:rPr>
      </w:pPr>
      <w:r>
        <w:rPr>
          <w:position w:val="8"/>
          <w:sz w:val="16"/>
        </w:rPr>
        <w:t>9 </w:t>
      </w:r>
      <w:r>
        <w:rPr>
          <w:i/>
          <w:sz w:val="24"/>
        </w:rPr>
        <w:t>Los Angeles Waterkeeper v. Pruitt, et al. </w:t>
      </w:r>
      <w:r>
        <w:rPr>
          <w:sz w:val="24"/>
        </w:rPr>
        <w:t>(2018) 320 F.Supp.3d 1115, 1118.</w:t>
      </w:r>
    </w:p>
    <w:p>
      <w:pPr>
        <w:pStyle w:val="BodyText"/>
        <w:spacing w:before="235"/>
        <w:ind w:left="279" w:right="1035"/>
      </w:pPr>
      <w:r>
        <w:rPr>
          <w:position w:val="8"/>
          <w:sz w:val="16"/>
        </w:rPr>
        <w:t>10 </w:t>
      </w:r>
      <w:r>
        <w:rPr/>
        <w:t>National Research Council. 2008. Urban Stormwater Management in the United States, October 15, 2008.</w:t>
      </w:r>
    </w:p>
    <w:p>
      <w:pPr>
        <w:pStyle w:val="BodyText"/>
        <w:spacing w:before="5"/>
        <w:rPr>
          <w:sz w:val="20"/>
        </w:rPr>
      </w:pPr>
    </w:p>
    <w:p>
      <w:pPr>
        <w:pStyle w:val="BodyText"/>
        <w:ind w:left="280" w:right="1035"/>
      </w:pPr>
      <w:r>
        <w:rPr>
          <w:position w:val="8"/>
          <w:sz w:val="16"/>
        </w:rPr>
        <w:t>11 </w:t>
      </w:r>
      <w:r>
        <w:rPr/>
        <w:t>Natural Resources Defense Council (NRDC). 1999. Stormwater Strategies, Community Responses to Runoff Pollution.</w:t>
      </w:r>
    </w:p>
    <w:p>
      <w:pPr>
        <w:pStyle w:val="BodyText"/>
        <w:spacing w:before="5"/>
        <w:rPr>
          <w:sz w:val="20"/>
        </w:rPr>
      </w:pPr>
    </w:p>
    <w:p>
      <w:pPr>
        <w:pStyle w:val="BodyText"/>
        <w:ind w:left="280"/>
      </w:pPr>
      <w:r>
        <w:rPr>
          <w:position w:val="8"/>
          <w:sz w:val="16"/>
        </w:rPr>
        <w:t>12 </w:t>
      </w:r>
      <w:r>
        <w:rPr/>
        <w:t>U.S. EPA. 1997. Urbanization and Streams: Studies of Hydrologic Impacts.</w:t>
      </w:r>
    </w:p>
    <w:p>
      <w:pPr>
        <w:spacing w:after="0"/>
        <w:sectPr>
          <w:pgSz w:w="12240" w:h="15840"/>
          <w:pgMar w:header="728" w:footer="788" w:top="1540" w:bottom="980" w:left="1160" w:right="420"/>
        </w:sectPr>
      </w:pPr>
    </w:p>
    <w:p>
      <w:pPr>
        <w:pStyle w:val="BodyText"/>
        <w:spacing w:before="11"/>
        <w:rPr>
          <w:sz w:val="15"/>
        </w:rPr>
      </w:pPr>
    </w:p>
    <w:p>
      <w:pPr>
        <w:pStyle w:val="BodyText"/>
        <w:spacing w:line="237" w:lineRule="auto" w:before="94"/>
        <w:ind w:left="870" w:right="1018"/>
        <w:rPr>
          <w:sz w:val="16"/>
        </w:rPr>
      </w:pPr>
      <w:r>
        <w:rPr/>
        <w:t>pollutants to the Southern California Bight found elevated concentrations of ammonia, metals, DDT, and total suspended solids (TSS) at commercial (including institutional) and industrial sites.</w:t>
      </w:r>
      <w:r>
        <w:rPr>
          <w:position w:val="8"/>
          <w:sz w:val="16"/>
        </w:rPr>
        <w:t>13 </w:t>
      </w:r>
      <w:r>
        <w:rPr/>
        <w:t>Sampling at land use sites in the Los Angeles area showed elevated levels of metals, Total PAHs, TSS, and indicator bacteria at commercial (including institutional) and industrial sites.</w:t>
      </w:r>
      <w:r>
        <w:rPr>
          <w:position w:val="8"/>
          <w:sz w:val="16"/>
        </w:rPr>
        <w:t>14 </w:t>
      </w:r>
      <w:r>
        <w:rPr/>
        <w:t>A study of parking lot runoff at a college campus in the Los Cerritos Channel Watershed found elevated levels of TSS and Total PAHs.</w:t>
      </w:r>
      <w:r>
        <w:rPr>
          <w:position w:val="8"/>
          <w:sz w:val="16"/>
        </w:rPr>
        <w:t>15 </w:t>
      </w:r>
      <w:r>
        <w:rPr/>
        <w:t>A review of data from MS4 outfalls in the Dominguez Channel/Inner and Outer Los Angeles and Long Beach Harbor Watershed and the Los Cerritos Channel/Alamitos Bay Watershed, which drain areas comprised of at least 50% commercial, institutional, industrial, and transportation land uses, revealed elevated levels of PAHs, PCBs, pH, and indicator</w:t>
      </w:r>
      <w:r>
        <w:rPr>
          <w:spacing w:val="-1"/>
        </w:rPr>
        <w:t> </w:t>
      </w:r>
      <w:r>
        <w:rPr/>
        <w:t>bacteria.</w:t>
      </w:r>
      <w:r>
        <w:rPr>
          <w:position w:val="8"/>
          <w:sz w:val="16"/>
        </w:rPr>
        <w:t>16</w:t>
      </w:r>
    </w:p>
    <w:p>
      <w:pPr>
        <w:pStyle w:val="BodyText"/>
        <w:spacing w:before="10"/>
        <w:rPr>
          <w:sz w:val="21"/>
        </w:rPr>
      </w:pPr>
    </w:p>
    <w:p>
      <w:pPr>
        <w:pStyle w:val="Heading1"/>
        <w:numPr>
          <w:ilvl w:val="1"/>
          <w:numId w:val="30"/>
        </w:numPr>
        <w:tabs>
          <w:tab w:pos="871" w:val="left" w:leader="none"/>
        </w:tabs>
        <w:spacing w:line="240" w:lineRule="auto" w:before="0" w:after="0"/>
        <w:ind w:left="870" w:right="0" w:hanging="592"/>
        <w:jc w:val="left"/>
      </w:pPr>
      <w:r>
        <w:rPr/>
        <w:t>Description of Receiving Waters and Watershed Management</w:t>
      </w:r>
      <w:r>
        <w:rPr>
          <w:spacing w:val="-7"/>
        </w:rPr>
        <w:t> </w:t>
      </w:r>
      <w:r>
        <w:rPr/>
        <w:t>Areas.</w:t>
      </w:r>
    </w:p>
    <w:p>
      <w:pPr>
        <w:pStyle w:val="BodyText"/>
        <w:rPr>
          <w:b/>
        </w:rPr>
      </w:pPr>
    </w:p>
    <w:p>
      <w:pPr>
        <w:pStyle w:val="BodyText"/>
        <w:ind w:left="870" w:right="1138"/>
      </w:pPr>
      <w:r>
        <w:rPr/>
        <w:t>Discharges covered under this General Permit enter receiving waters in the Alamitos Bay/Los Cerritos Channel Watershed and the Dominguez Channel and Los Angeles/Long Beach Harbor Watershed, including the Machado Lake subwatershed. The receiving waters within these Watershed Management Areas include those identified in Tables 2-1, 2-1a, 2- 3, 2-3a, 2-4, 2-4a, and Appendix 1 Table 1, Table A2-1, Table A2-3 and Table A2-4 of the </w:t>
      </w:r>
      <w:r>
        <w:rPr>
          <w:i/>
        </w:rPr>
        <w:t>Basin Plan for the Coastal </w:t>
      </w:r>
      <w:r>
        <w:rPr>
          <w:i/>
        </w:rPr>
        <w:t>Watersheds of Los Angeles and Ventura Counties </w:t>
      </w:r>
      <w:r>
        <w:rPr/>
        <w:t>(Basin Plan), and other unidentified tributaries to these surface waters.</w:t>
      </w:r>
    </w:p>
    <w:p>
      <w:pPr>
        <w:pStyle w:val="BodyText"/>
        <w:spacing w:before="9"/>
        <w:rPr>
          <w:sz w:val="20"/>
        </w:rPr>
      </w:pPr>
    </w:p>
    <w:p>
      <w:pPr>
        <w:pStyle w:val="Heading1"/>
        <w:numPr>
          <w:ilvl w:val="2"/>
          <w:numId w:val="30"/>
        </w:numPr>
        <w:tabs>
          <w:tab w:pos="1100" w:val="left" w:leader="none"/>
          <w:tab w:pos="1101" w:val="left" w:leader="none"/>
        </w:tabs>
        <w:spacing w:line="240" w:lineRule="auto" w:before="0" w:after="0"/>
        <w:ind w:left="1100" w:right="0" w:hanging="822"/>
        <w:jc w:val="left"/>
      </w:pPr>
      <w:r>
        <w:rPr/>
        <w:t>Alamitos Bay/Los Cerritos Channel Watershed Management</w:t>
      </w:r>
      <w:r>
        <w:rPr>
          <w:spacing w:val="-6"/>
        </w:rPr>
        <w:t> </w:t>
      </w:r>
      <w:r>
        <w:rPr/>
        <w:t>Area.</w:t>
      </w:r>
    </w:p>
    <w:p>
      <w:pPr>
        <w:pStyle w:val="BodyText"/>
        <w:rPr>
          <w:b/>
        </w:rPr>
      </w:pPr>
    </w:p>
    <w:p>
      <w:pPr>
        <w:pStyle w:val="BodyText"/>
        <w:ind w:left="1100" w:right="1295"/>
      </w:pPr>
      <w:r>
        <w:rPr/>
        <w:t>The Los Cerritos Channel drains a small but densely urbanized area of east Long Beach. The watershed covers an area of approximately 37 square miles</w:t>
      </w:r>
    </w:p>
    <w:p>
      <w:pPr>
        <w:pStyle w:val="BodyText"/>
        <w:spacing w:before="4"/>
        <w:rPr>
          <w:sz w:val="22"/>
        </w:rPr>
      </w:pPr>
      <w:r>
        <w:rPr/>
        <w:pict>
          <v:shape style="position:absolute;margin-left:72pt;margin-top:15.133916pt;width:144pt;height:.1pt;mso-position-horizontal-relative:page;mso-position-vertical-relative:paragraph;z-index:-251637760;mso-wrap-distance-left:0;mso-wrap-distance-right:0" coordorigin="1440,303" coordsize="2880,0" path="m1440,303l4320,303e" filled="false" stroked="true" strokeweight=".599980pt" strokecolor="#000000">
            <v:path arrowok="t"/>
            <v:stroke dashstyle="solid"/>
            <w10:wrap type="topAndBottom"/>
          </v:shape>
        </w:pict>
      </w:r>
    </w:p>
    <w:p>
      <w:pPr>
        <w:pStyle w:val="BodyText"/>
        <w:rPr>
          <w:sz w:val="20"/>
        </w:rPr>
      </w:pPr>
    </w:p>
    <w:p>
      <w:pPr>
        <w:pStyle w:val="BodyText"/>
        <w:spacing w:before="5"/>
        <w:rPr>
          <w:sz w:val="22"/>
        </w:rPr>
      </w:pPr>
    </w:p>
    <w:p>
      <w:pPr>
        <w:pStyle w:val="BodyText"/>
        <w:spacing w:before="95"/>
        <w:ind w:left="280" w:right="1035"/>
      </w:pPr>
      <w:r>
        <w:rPr>
          <w:position w:val="8"/>
          <w:sz w:val="16"/>
        </w:rPr>
        <w:t>13 </w:t>
      </w:r>
      <w:r>
        <w:rPr/>
        <w:t>Ackerman, D. and Schiff, K. 2003. Modeling Storm Water Mass Emissions to the Southern California Bight. Journal of Environmental Engineering. April 2003.</w:t>
      </w:r>
    </w:p>
    <w:p>
      <w:pPr>
        <w:pStyle w:val="BodyText"/>
        <w:spacing w:before="5"/>
        <w:rPr>
          <w:sz w:val="20"/>
        </w:rPr>
      </w:pPr>
    </w:p>
    <w:p>
      <w:pPr>
        <w:pStyle w:val="BodyText"/>
        <w:ind w:left="280" w:right="1035"/>
      </w:pPr>
      <w:r>
        <w:rPr>
          <w:position w:val="8"/>
          <w:sz w:val="16"/>
        </w:rPr>
        <w:t>14 </w:t>
      </w:r>
      <w:r>
        <w:rPr/>
        <w:t>Stein, E., Tiefenthaler, L., and Schiff, K. 2008. Comparison of stormwater pollutant loading by land use type. Southern California Coastal Water Research Project 2008 Annual Report.</w:t>
      </w:r>
    </w:p>
    <w:p>
      <w:pPr>
        <w:pStyle w:val="BodyText"/>
        <w:spacing w:before="5"/>
        <w:rPr>
          <w:sz w:val="20"/>
        </w:rPr>
      </w:pPr>
    </w:p>
    <w:p>
      <w:pPr>
        <w:pStyle w:val="BodyText"/>
        <w:ind w:left="280" w:right="1328"/>
      </w:pPr>
      <w:r>
        <w:rPr>
          <w:position w:val="8"/>
          <w:sz w:val="16"/>
        </w:rPr>
        <w:t>15 </w:t>
      </w:r>
      <w:r>
        <w:rPr/>
        <w:t>Tiefenthaler, L., Schiff, K., and Bay, S. 2001. Characteristics of Parking Lot Runoff Produced by Simulated Rainfall. Southern California Coastal Water Research Project Technical Report No. 340.</w:t>
      </w:r>
    </w:p>
    <w:p>
      <w:pPr>
        <w:pStyle w:val="BodyText"/>
        <w:spacing w:before="5"/>
        <w:rPr>
          <w:sz w:val="20"/>
        </w:rPr>
      </w:pPr>
    </w:p>
    <w:p>
      <w:pPr>
        <w:pStyle w:val="BodyText"/>
        <w:ind w:left="280" w:right="1052"/>
      </w:pPr>
      <w:r>
        <w:rPr>
          <w:position w:val="8"/>
          <w:sz w:val="16"/>
        </w:rPr>
        <w:t>16 </w:t>
      </w:r>
      <w:r>
        <w:rPr/>
        <w:t>Los Cerritos Channel Watershed Management Group and Dominguez Channel Watershed Management Group 2016-2021 Annual Reports (Outfalls LCC-SB9-1, DOM- OF-001, DOM-OF-002, and DOM-OF-003).</w:t>
      </w:r>
    </w:p>
    <w:p>
      <w:pPr>
        <w:spacing w:after="0"/>
        <w:sectPr>
          <w:pgSz w:w="12240" w:h="15840"/>
          <w:pgMar w:header="728" w:footer="788" w:top="1540" w:bottom="980" w:left="1160" w:right="420"/>
        </w:sectPr>
      </w:pPr>
    </w:p>
    <w:p>
      <w:pPr>
        <w:pStyle w:val="BodyText"/>
        <w:spacing w:before="11"/>
        <w:rPr>
          <w:sz w:val="15"/>
        </w:rPr>
      </w:pPr>
    </w:p>
    <w:p>
      <w:pPr>
        <w:pStyle w:val="BodyText"/>
        <w:spacing w:before="92"/>
        <w:ind w:left="1100" w:right="1032"/>
      </w:pPr>
      <w:r>
        <w:rPr/>
        <w:t>(23,680 acres) and drains to Alamitos Bay. The Los Cerritos Channel’s tidal prism starts at Anaheim Road and connects with Alamitos Bay through the Marine Stadium. The Los Cerritos Channel wetlands connect to the Channel a short distance from the lower end of the Channel. The wetlands, and portion of the channel near the wetlands, is an overwintering site for a great diversity of birds despite its small size. An endangered bird species, the Belding's Savannah Sparrow, may nest there and an area adjacent to the wetlands is a historic California least tern colony site. A small marina is located in the channel, which is also used by rowing teams and is a popular fishing area. Alamitos Bay is composed of Marine Stadium, a recreation facility built in 1932; Long Beach Marina; a variety of public and private berths; and the Bay proper. A small bathing lagoon, Colorado Lagoon, has a tidal connection with the Bay and is used by overwintering migratory birds. The majority of land use in this Watershed Management Area is residential (59%), with the next highest percentage of land uses being commercial (15%), industrial (9%), and mixed urban (9%). Los Cerritos Channel is on the 2018 CWA section 303(d) list for metals (copper, zinc, and lead), trash, ammonia, pH, chlordane, bis(2- ethylhexyl)phthalate, and indicator bacteria. Alamitos Bay is on the 2018 CWA section 303(d) list for indicator bacteria and dissolved</w:t>
      </w:r>
      <w:r>
        <w:rPr>
          <w:spacing w:val="-9"/>
        </w:rPr>
        <w:t> </w:t>
      </w:r>
      <w:r>
        <w:rPr/>
        <w:t>oxygen.</w:t>
      </w:r>
    </w:p>
    <w:p>
      <w:pPr>
        <w:pStyle w:val="BodyText"/>
        <w:spacing w:before="11"/>
        <w:rPr>
          <w:sz w:val="20"/>
        </w:rPr>
      </w:pPr>
    </w:p>
    <w:p>
      <w:pPr>
        <w:pStyle w:val="Heading1"/>
        <w:numPr>
          <w:ilvl w:val="2"/>
          <w:numId w:val="30"/>
        </w:numPr>
        <w:tabs>
          <w:tab w:pos="1100" w:val="left" w:leader="none"/>
          <w:tab w:pos="1101" w:val="left" w:leader="none"/>
        </w:tabs>
        <w:spacing w:line="240" w:lineRule="auto" w:before="0" w:after="0"/>
        <w:ind w:left="1100" w:right="1022" w:hanging="821"/>
        <w:jc w:val="left"/>
      </w:pPr>
      <w:r>
        <w:rPr/>
        <w:t>Dominguez Channel and Los Angeles/Long Beach Inner Harbor Watershed Management</w:t>
      </w:r>
      <w:r>
        <w:rPr>
          <w:spacing w:val="-1"/>
        </w:rPr>
        <w:t> </w:t>
      </w:r>
      <w:r>
        <w:rPr/>
        <w:t>Area.</w:t>
      </w:r>
    </w:p>
    <w:p>
      <w:pPr>
        <w:pStyle w:val="BodyText"/>
        <w:spacing w:before="10"/>
        <w:rPr>
          <w:b/>
          <w:sz w:val="23"/>
        </w:rPr>
      </w:pPr>
    </w:p>
    <w:p>
      <w:pPr>
        <w:pStyle w:val="BodyText"/>
        <w:ind w:left="1100" w:right="1046"/>
      </w:pPr>
      <w:r>
        <w:rPr/>
        <w:t>The Dominguez Channel and Los Angeles/Long Beach Harbors Watershed Management Area is in the southern portion of the Los Angeles Basin. It covers an area of approximately 121 square miles (77,440 acres). Los Angeles Harbor is 7,500 acres and Long Beach Harbor is 7,600 acres; together they have an open water area of approximately 8,128 acres. Along the northern portion of San Pedro Bay is a natural embayment formed by a westerly extension of the coastline which contains both harbors, with the Palos Verdes Hills the dominant onshore feature. The 15-mile-long Dominguez Channel drains a densely urbanized area to Inner Los Angeles Harbor. Despite its industrial nature, contaminant sources, disrupted wetlands habitat, and low flushing ability, the inner harbor area supports diverse fish and benthic populations and provides a protected nursery area for juvenile fish. The California least tern, an endangered species, nests in one part of the harbor complex. Some wetlands persist in the Machado Lake area. The outer part of both harbors (the greater San Pedro Bay within the breakwaters) has been less disrupted and supports a great diversity of marine life and a large population of fish. It is also open to the ocean at its eastern end and receives much greater flushing than the inner harbors. Various waterbodies in the Dominguez Watershed Management Area are on the 2018 CWA section 303(d) list of impaired waterbodies due to metals, DDT, PCBs, PAHs, historic pesticides, indicator bacteria, toxicity, and sediment</w:t>
      </w:r>
      <w:r>
        <w:rPr>
          <w:spacing w:val="-22"/>
        </w:rPr>
        <w:t> </w:t>
      </w:r>
      <w:r>
        <w:rPr/>
        <w:t>toxicity.</w:t>
      </w:r>
    </w:p>
    <w:p>
      <w:pPr>
        <w:spacing w:after="0"/>
        <w:sectPr>
          <w:pgSz w:w="12240" w:h="15840"/>
          <w:pgMar w:header="728" w:footer="788" w:top="1540" w:bottom="980" w:left="1160" w:right="420"/>
        </w:sectPr>
      </w:pPr>
    </w:p>
    <w:p>
      <w:pPr>
        <w:pStyle w:val="BodyText"/>
        <w:spacing w:before="11"/>
        <w:rPr>
          <w:sz w:val="15"/>
        </w:rPr>
      </w:pPr>
    </w:p>
    <w:p>
      <w:pPr>
        <w:pStyle w:val="Heading1"/>
        <w:numPr>
          <w:ilvl w:val="3"/>
          <w:numId w:val="30"/>
        </w:numPr>
        <w:tabs>
          <w:tab w:pos="1359" w:val="left" w:leader="none"/>
          <w:tab w:pos="1360" w:val="left" w:leader="none"/>
        </w:tabs>
        <w:spacing w:line="240" w:lineRule="auto" w:before="92" w:after="0"/>
        <w:ind w:left="1360" w:right="0" w:hanging="1080"/>
        <w:jc w:val="left"/>
      </w:pPr>
      <w:r>
        <w:rPr/>
        <w:t>Machado Lake</w:t>
      </w:r>
      <w:r>
        <w:rPr>
          <w:spacing w:val="-1"/>
        </w:rPr>
        <w:t> </w:t>
      </w:r>
      <w:r>
        <w:rPr/>
        <w:t>Subwatershed.</w:t>
      </w:r>
    </w:p>
    <w:p>
      <w:pPr>
        <w:pStyle w:val="BodyText"/>
        <w:rPr>
          <w:b/>
        </w:rPr>
      </w:pPr>
    </w:p>
    <w:p>
      <w:pPr>
        <w:pStyle w:val="BodyText"/>
        <w:ind w:left="1360" w:right="1195"/>
      </w:pPr>
      <w:r>
        <w:rPr/>
        <w:t>Machado Lake is a subwatershed of the Dominguez Channel Watershed. Wilmington Drain discharges into Machado Lake from the north; the channel is concrete lined from its origin south of Sepulveda Boulevard (between Normandie and Vermont Avenues) to where it crosses under the Harbor Freeway north of Lomita Boulevard. South of this point it changes to a soft bottom with natural side banks to where it empties into Machado Lake.</w:t>
      </w:r>
    </w:p>
    <w:p>
      <w:pPr>
        <w:pStyle w:val="BodyText"/>
        <w:ind w:left="1360" w:right="1276"/>
      </w:pPr>
      <w:r>
        <w:rPr/>
        <w:t>Habitat in this part of the drain includes mature riparian woodland, riparian scrub, freshwater marsh, and weedy vegetation. The area is well-utilized by birds. Machado Lake is listed on the 2018 CWA section 303(d) list due to trash, nutrients, PCBs and historic pesticides.</w:t>
      </w:r>
    </w:p>
    <w:p>
      <w:pPr>
        <w:pStyle w:val="BodyText"/>
        <w:spacing w:before="10"/>
        <w:rPr>
          <w:sz w:val="20"/>
        </w:rPr>
      </w:pPr>
    </w:p>
    <w:p>
      <w:pPr>
        <w:pStyle w:val="Heading1"/>
        <w:numPr>
          <w:ilvl w:val="0"/>
          <w:numId w:val="30"/>
        </w:numPr>
        <w:tabs>
          <w:tab w:pos="640" w:val="left" w:leader="none"/>
        </w:tabs>
        <w:spacing w:line="240" w:lineRule="auto" w:before="1" w:after="0"/>
        <w:ind w:left="639" w:right="0" w:hanging="360"/>
        <w:jc w:val="left"/>
      </w:pPr>
      <w:r>
        <w:rPr/>
        <w:t>APPLICABLE PLANS, POLICIES, AND</w:t>
      </w:r>
      <w:r>
        <w:rPr>
          <w:spacing w:val="-2"/>
        </w:rPr>
        <w:t> </w:t>
      </w:r>
      <w:r>
        <w:rPr/>
        <w:t>REGULATIONS.</w:t>
      </w:r>
    </w:p>
    <w:p>
      <w:pPr>
        <w:pStyle w:val="BodyText"/>
        <w:spacing w:before="11"/>
        <w:rPr>
          <w:b/>
          <w:sz w:val="23"/>
        </w:rPr>
      </w:pPr>
    </w:p>
    <w:p>
      <w:pPr>
        <w:pStyle w:val="BodyText"/>
        <w:ind w:left="640" w:right="1302"/>
      </w:pPr>
      <w:r>
        <w:rPr/>
        <w:t>The requirements contained in this General Permit are based on the requirements and authorities described in this section. These include the federal CWA and implementing regulations, the CWC, and applicable statewide and regional water quality control plans and policies.</w:t>
      </w:r>
    </w:p>
    <w:p>
      <w:pPr>
        <w:pStyle w:val="BodyText"/>
        <w:spacing w:before="10"/>
        <w:rPr>
          <w:sz w:val="20"/>
        </w:rPr>
      </w:pPr>
    </w:p>
    <w:p>
      <w:pPr>
        <w:pStyle w:val="Heading1"/>
        <w:numPr>
          <w:ilvl w:val="1"/>
          <w:numId w:val="30"/>
        </w:numPr>
        <w:tabs>
          <w:tab w:pos="871" w:val="left" w:leader="none"/>
        </w:tabs>
        <w:spacing w:line="240" w:lineRule="auto" w:before="0" w:after="0"/>
        <w:ind w:left="870" w:right="0" w:hanging="591"/>
        <w:jc w:val="left"/>
      </w:pPr>
      <w:r>
        <w:rPr/>
        <w:t>Legal</w:t>
      </w:r>
      <w:r>
        <w:rPr>
          <w:spacing w:val="-1"/>
        </w:rPr>
        <w:t> </w:t>
      </w:r>
      <w:r>
        <w:rPr/>
        <w:t>Authorities.</w:t>
      </w:r>
    </w:p>
    <w:p>
      <w:pPr>
        <w:pStyle w:val="BodyText"/>
        <w:rPr>
          <w:b/>
        </w:rPr>
      </w:pPr>
    </w:p>
    <w:p>
      <w:pPr>
        <w:pStyle w:val="BodyText"/>
        <w:ind w:left="870" w:right="1019"/>
      </w:pPr>
      <w:r>
        <w:rPr/>
        <w:t>This General Permit is issued pursuant to section 402 of the federal CWA and implementing regulations adopted by the USEPA and chapter 5.5, division 7 of the CWC (commencing with section 13370). It shall serve as a general NPDES permit for discharges of stormwater and authorized NSWDs from CII facilities in the Dominguez Channel/Inner and Outer Los Angeles and Long Beach Harbor Watershed and the Los Cerritos Channel/Alamitos Bay Watershed (see section 2). This General Permit also serves as waste discharge requirements (WDRs) pursuant to article 4, chapter 4, division 7 of the CWC (commencing with section 13260).</w:t>
      </w:r>
    </w:p>
    <w:p>
      <w:pPr>
        <w:pStyle w:val="BodyText"/>
        <w:spacing w:before="11"/>
        <w:rPr>
          <w:sz w:val="23"/>
        </w:rPr>
      </w:pPr>
    </w:p>
    <w:p>
      <w:pPr>
        <w:pStyle w:val="BodyText"/>
        <w:ind w:left="870" w:right="1045"/>
      </w:pPr>
      <w:r>
        <w:rPr/>
        <w:t>States may request authority to issue general NPDES permits pursuant to 40 CFR section 122.28. The State Water Board has been authorized by the USEPA to administer the NPDES program in California since 1973. The procedures for the State Water Board and the Los Angeles Water Board to issue NPDES permits pursuant to 40 CFR parts 122 and 123 were established through the NPDES Memorandum of Agreement between the USEPA and the State Water Board on September 22, 1989.</w:t>
      </w:r>
    </w:p>
    <w:p>
      <w:pPr>
        <w:pStyle w:val="BodyText"/>
        <w:spacing w:before="10"/>
        <w:rPr>
          <w:sz w:val="20"/>
        </w:rPr>
      </w:pPr>
    </w:p>
    <w:p>
      <w:pPr>
        <w:pStyle w:val="Heading1"/>
        <w:numPr>
          <w:ilvl w:val="1"/>
          <w:numId w:val="30"/>
        </w:numPr>
        <w:tabs>
          <w:tab w:pos="871" w:val="left" w:leader="none"/>
        </w:tabs>
        <w:spacing w:line="240" w:lineRule="auto" w:before="0" w:after="0"/>
        <w:ind w:left="870" w:right="0" w:hanging="591"/>
        <w:jc w:val="left"/>
      </w:pPr>
      <w:r>
        <w:rPr/>
        <w:t>California Environmental Quality Act</w:t>
      </w:r>
      <w:r>
        <w:rPr>
          <w:spacing w:val="-2"/>
        </w:rPr>
        <w:t> </w:t>
      </w:r>
      <w:r>
        <w:rPr/>
        <w:t>(CEQA).</w:t>
      </w:r>
    </w:p>
    <w:p>
      <w:pPr>
        <w:pStyle w:val="BodyText"/>
        <w:rPr>
          <w:b/>
        </w:rPr>
      </w:pPr>
    </w:p>
    <w:p>
      <w:pPr>
        <w:pStyle w:val="BodyText"/>
        <w:ind w:left="870"/>
      </w:pPr>
      <w:r>
        <w:rPr/>
        <w:t>Under CWC section 13389, this action to adopt a general NPDES permit is</w:t>
      </w:r>
    </w:p>
    <w:p>
      <w:pPr>
        <w:spacing w:after="0"/>
        <w:sectPr>
          <w:pgSz w:w="12240" w:h="15840"/>
          <w:pgMar w:header="728" w:footer="788" w:top="1540" w:bottom="980" w:left="1160" w:right="420"/>
        </w:sectPr>
      </w:pPr>
    </w:p>
    <w:p>
      <w:pPr>
        <w:pStyle w:val="BodyText"/>
        <w:spacing w:before="11"/>
        <w:rPr>
          <w:sz w:val="15"/>
        </w:rPr>
      </w:pPr>
    </w:p>
    <w:p>
      <w:pPr>
        <w:pStyle w:val="BodyText"/>
        <w:spacing w:before="92"/>
        <w:ind w:left="870" w:right="1646"/>
      </w:pPr>
      <w:r>
        <w:rPr/>
        <w:t>exempt from the provisions of chapter 3 of CEQA, (commencing with section 21100) of division 13 of the Public Resources Code.</w:t>
      </w:r>
    </w:p>
    <w:p>
      <w:pPr>
        <w:pStyle w:val="BodyText"/>
        <w:spacing w:before="10"/>
        <w:rPr>
          <w:sz w:val="20"/>
        </w:rPr>
      </w:pPr>
    </w:p>
    <w:p>
      <w:pPr>
        <w:pStyle w:val="Heading1"/>
        <w:numPr>
          <w:ilvl w:val="1"/>
          <w:numId w:val="30"/>
        </w:numPr>
        <w:tabs>
          <w:tab w:pos="871" w:val="left" w:leader="none"/>
        </w:tabs>
        <w:spacing w:line="240" w:lineRule="auto" w:before="0" w:after="0"/>
        <w:ind w:left="870" w:right="0" w:hanging="592"/>
        <w:jc w:val="left"/>
      </w:pPr>
      <w:r>
        <w:rPr/>
        <w:t>Water Code Sections 189.7 and 13149.2 Public</w:t>
      </w:r>
      <w:r>
        <w:rPr>
          <w:spacing w:val="-5"/>
        </w:rPr>
        <w:t> </w:t>
      </w:r>
      <w:r>
        <w:rPr/>
        <w:t>Outreach</w:t>
      </w:r>
    </w:p>
    <w:p>
      <w:pPr>
        <w:pStyle w:val="BodyText"/>
        <w:spacing w:before="10"/>
        <w:rPr>
          <w:b/>
          <w:sz w:val="20"/>
        </w:rPr>
      </w:pPr>
    </w:p>
    <w:p>
      <w:pPr>
        <w:pStyle w:val="BodyText"/>
        <w:spacing w:line="256" w:lineRule="auto"/>
        <w:ind w:left="909" w:right="1046"/>
      </w:pPr>
      <w:r>
        <w:rPr/>
        <w:t>Assembly Bill 2108, "Water policy: environmental justice: disadvantaged and tribal communities," has been signed into law as of September 2022. AB 2108 adds sections 189.7 and 13149.2 to the CWC. Effective January 1, 2023, this law requires the Water Boards to conduct equitable, culturally relevant outreach when considering proposed discharges of waste that may have disproportionate impacts on water quality in disadvantaged communities or tribal</w:t>
      </w:r>
      <w:r>
        <w:rPr>
          <w:spacing w:val="-26"/>
        </w:rPr>
        <w:t> </w:t>
      </w:r>
      <w:r>
        <w:rPr/>
        <w:t>communities.</w:t>
      </w:r>
    </w:p>
    <w:p>
      <w:pPr>
        <w:pStyle w:val="BodyText"/>
        <w:spacing w:line="256" w:lineRule="auto"/>
        <w:ind w:left="909" w:right="1034"/>
      </w:pPr>
      <w:r>
        <w:rPr/>
        <w:t>Also, for certain actions, the Water Boards must adopt findings related to water quality impacts in disadvantaged or tribal communities and related to environmental justice concerns. In accordance with CWC Sections 189.7 and 13149.2, the Los Angeles Water Board conducted a community profile assessment based on U.S. Census Bureau and CalEnviroScreen 4.0 data for the 358 Census Tracts (Nos. from 6037238000 through 6037980037) that overlap with the Los Cerritos Channel/Alamitos Bay watershed and the Dominguez Channel/Inner</w:t>
      </w:r>
      <w:r>
        <w:rPr>
          <w:spacing w:val="-5"/>
        </w:rPr>
        <w:t> </w:t>
      </w:r>
      <w:r>
        <w:rPr/>
        <w:t>and</w:t>
      </w:r>
      <w:r>
        <w:rPr>
          <w:spacing w:val="-5"/>
        </w:rPr>
        <w:t> </w:t>
      </w:r>
      <w:r>
        <w:rPr/>
        <w:t>Outer</w:t>
      </w:r>
      <w:r>
        <w:rPr>
          <w:spacing w:val="-5"/>
        </w:rPr>
        <w:t> </w:t>
      </w:r>
      <w:r>
        <w:rPr/>
        <w:t>Los</w:t>
      </w:r>
      <w:r>
        <w:rPr>
          <w:spacing w:val="-5"/>
        </w:rPr>
        <w:t> </w:t>
      </w:r>
      <w:r>
        <w:rPr/>
        <w:t>Angeles</w:t>
      </w:r>
      <w:r>
        <w:rPr>
          <w:spacing w:val="-5"/>
        </w:rPr>
        <w:t> </w:t>
      </w:r>
      <w:r>
        <w:rPr/>
        <w:t>and</w:t>
      </w:r>
      <w:r>
        <w:rPr>
          <w:spacing w:val="-4"/>
        </w:rPr>
        <w:t> </w:t>
      </w:r>
      <w:r>
        <w:rPr/>
        <w:t>Long</w:t>
      </w:r>
      <w:r>
        <w:rPr>
          <w:spacing w:val="-5"/>
        </w:rPr>
        <w:t> </w:t>
      </w:r>
      <w:r>
        <w:rPr/>
        <w:t>Beach</w:t>
      </w:r>
      <w:r>
        <w:rPr>
          <w:spacing w:val="-5"/>
        </w:rPr>
        <w:t> </w:t>
      </w:r>
      <w:r>
        <w:rPr/>
        <w:t>Harbor</w:t>
      </w:r>
      <w:r>
        <w:rPr>
          <w:spacing w:val="-5"/>
        </w:rPr>
        <w:t> </w:t>
      </w:r>
      <w:r>
        <w:rPr/>
        <w:t>watershed</w:t>
      </w:r>
      <w:r>
        <w:rPr>
          <w:spacing w:val="-5"/>
        </w:rPr>
        <w:t> </w:t>
      </w:r>
      <w:r>
        <w:rPr/>
        <w:t>(subject Watersheds).</w:t>
      </w:r>
    </w:p>
    <w:p>
      <w:pPr>
        <w:pStyle w:val="BodyText"/>
        <w:spacing w:line="256" w:lineRule="auto" w:before="227"/>
        <w:ind w:left="909" w:right="1128"/>
      </w:pPr>
      <w:r>
        <w:rPr/>
        <w:t>To identify racial and economic demographics, Decennial Census P2 Race and American Community Survey (ACS) Median Household Income (MHI) data at the census tracts level was referenced. 2020 Decennial Census P2 Race data, ACS 2017-2021 5-year estimates, and the 2020 Census Tract boundaries were used. Census tracts are small, relatively permanent statistical subdivisions of a county or equivalent entity and are reviewed and updated by local participants prior to each decennial census. The primary purpose of census tracts is to provide a stable set of geographic units for the presentation of decennial census data.</w:t>
      </w:r>
    </w:p>
    <w:p>
      <w:pPr>
        <w:pStyle w:val="BodyText"/>
        <w:spacing w:line="256" w:lineRule="auto"/>
        <w:ind w:left="909" w:right="1219"/>
      </w:pPr>
      <w:r>
        <w:rPr/>
        <w:t>Disadvantaged communities were identified by evaluating census tract MHI data against the statewide ACS MHI, which was $84,097 in 2021.</w:t>
      </w:r>
    </w:p>
    <w:p>
      <w:pPr>
        <w:pStyle w:val="BodyText"/>
        <w:spacing w:line="256" w:lineRule="auto" w:before="231"/>
        <w:ind w:left="909" w:right="1033"/>
      </w:pPr>
      <w:r>
        <w:rPr/>
        <w:t>To identify pollution burden and linguistic isolation, CalEnviroScreen 4.0 indicator maps were referenced. CalEnviroScreen 4.0 is a mapping tool that quantifies socioeconomic and environmental impacts to communities throughout the state. A normalized score is then assigned to each census tract. In the pollution burden indicator map: an area with a high score is one that experiences a much higher pollution burden than areas with low scores. In the linguistic isolation indicator map: the 3 most common languages spoken by peoples who “do not speak English very well” are listed for each census tract.</w:t>
      </w:r>
    </w:p>
    <w:p>
      <w:pPr>
        <w:spacing w:after="0" w:line="256" w:lineRule="auto"/>
        <w:sectPr>
          <w:pgSz w:w="12240" w:h="15840"/>
          <w:pgMar w:header="728" w:footer="788" w:top="1540" w:bottom="980" w:left="1160" w:right="420"/>
        </w:sectPr>
      </w:pPr>
    </w:p>
    <w:p>
      <w:pPr>
        <w:pStyle w:val="BodyText"/>
        <w:spacing w:before="11"/>
        <w:rPr>
          <w:sz w:val="15"/>
        </w:rPr>
      </w:pPr>
    </w:p>
    <w:p>
      <w:pPr>
        <w:pStyle w:val="BodyText"/>
        <w:spacing w:line="254" w:lineRule="auto" w:before="92"/>
        <w:ind w:left="909" w:right="1061"/>
      </w:pPr>
      <w:r>
        <w:rPr/>
        <w:t>To identify pre-existing water quality inequalities, the Los Angeles Water Board’s Total Maximum Daily Load (TMDL) web page</w:t>
      </w:r>
      <w:r>
        <w:rPr>
          <w:position w:val="8"/>
          <w:sz w:val="16"/>
        </w:rPr>
        <w:t>17 </w:t>
      </w:r>
      <w:r>
        <w:rPr/>
        <w:t>and the State Water Board’s 2023 Drinking Water Needs Assessment (Needs Assessment) dataset</w:t>
      </w:r>
      <w:r>
        <w:rPr>
          <w:position w:val="8"/>
          <w:sz w:val="16"/>
        </w:rPr>
        <w:t>18 </w:t>
      </w:r>
      <w:r>
        <w:rPr/>
        <w:t>were referenced. TMDL is a number that represents the assimilative capacity of a receiving water to absorb a pollutant. A TMDL is implemented by reallocating the total allowable pollution among the different pollutant sources (through the permitting process or other regulatory means) to ensure that the water quality objectives are achieved. The annual Needs Assessment is an analysis conducted by the State Water Board to help inform the implementation of the Safe and Affordable Funding for Equity and Resilience (SAFER) Program. The Needs Assessment consists of three core components: the Affordability Assessment, Risk Assessment, and Cost Assessment. The Needs Assessment is used by the State Water Board and the SAFER Advisory Group to inform prioritization of public water systems, tribal water systems, state small water systems, and domestic wells for funding in the Safe and Affordable Drinking Water Fund Expenditure Plan; inform direction for State Water Board technical assistance; and to develop strategies for implementing interim and long-term</w:t>
      </w:r>
      <w:r>
        <w:rPr>
          <w:spacing w:val="-24"/>
        </w:rPr>
        <w:t> </w:t>
      </w:r>
      <w:r>
        <w:rPr/>
        <w:t>solutions.</w:t>
      </w:r>
    </w:p>
    <w:p>
      <w:pPr>
        <w:pStyle w:val="BodyText"/>
        <w:spacing w:before="8"/>
        <w:rPr>
          <w:sz w:val="22"/>
        </w:rPr>
      </w:pPr>
    </w:p>
    <w:p>
      <w:pPr>
        <w:pStyle w:val="BodyText"/>
        <w:spacing w:line="256" w:lineRule="auto"/>
        <w:ind w:left="909" w:right="1065"/>
      </w:pPr>
      <w:r>
        <w:rPr/>
        <w:t>For the community profile which comprises racial demographics, pollution burden, income survey data, and linguistic isolation factors, the Los Angeles Water Board found that (1) this General Permit will impact Black, Indigenous, people of color (BIPOC) communities due to the community made up of 15.5% white, 77.21 % BIPOC (13.92% black, 0.28% American Indian and Alaska Native, 14.58% Asian, 42.68% Hispanic or Latinx), and 5.75% other ethnicities based on 2020 U.S. Census data; (2) the pollution burden percentile is 72.8 % based on CalEnviroScreen 4.0; (3) there are disadvantaged communities based on the 2021 ACS MHI 5-year estimates; (4) a majority of language spoken is English; and (5) based on the linguistic isolation indicator map:</w:t>
      </w:r>
    </w:p>
    <w:p>
      <w:pPr>
        <w:pStyle w:val="ListParagraph"/>
        <w:numPr>
          <w:ilvl w:val="0"/>
          <w:numId w:val="31"/>
        </w:numPr>
        <w:tabs>
          <w:tab w:pos="909" w:val="left" w:leader="none"/>
          <w:tab w:pos="911" w:val="left" w:leader="none"/>
        </w:tabs>
        <w:spacing w:line="240" w:lineRule="auto" w:before="232" w:after="0"/>
        <w:ind w:left="910" w:right="0" w:hanging="362"/>
        <w:jc w:val="left"/>
        <w:rPr>
          <w:sz w:val="24"/>
        </w:rPr>
      </w:pPr>
      <w:r>
        <w:rPr>
          <w:sz w:val="24"/>
        </w:rPr>
        <w:t>9.8% of the population only speaks Spanish within the subject</w:t>
      </w:r>
      <w:r>
        <w:rPr>
          <w:spacing w:val="-13"/>
          <w:sz w:val="24"/>
        </w:rPr>
        <w:t> </w:t>
      </w:r>
      <w:r>
        <w:rPr>
          <w:sz w:val="24"/>
        </w:rPr>
        <w:t>Watersheds.</w:t>
      </w:r>
    </w:p>
    <w:p>
      <w:pPr>
        <w:pStyle w:val="ListParagraph"/>
        <w:numPr>
          <w:ilvl w:val="0"/>
          <w:numId w:val="31"/>
        </w:numPr>
        <w:tabs>
          <w:tab w:pos="909" w:val="left" w:leader="none"/>
          <w:tab w:pos="911" w:val="left" w:leader="none"/>
        </w:tabs>
        <w:spacing w:line="254" w:lineRule="auto" w:before="16" w:after="0"/>
        <w:ind w:left="909" w:right="1330" w:hanging="360"/>
        <w:jc w:val="left"/>
        <w:rPr>
          <w:sz w:val="24"/>
        </w:rPr>
      </w:pPr>
      <w:r>
        <w:rPr>
          <w:sz w:val="24"/>
        </w:rPr>
        <w:t>3.2% of the population only speaks Arabic, Chinese including Mandarin and Cantonese, Tagalog including Filipino, Korean, French Haitian of Cajun, Other Asian Languages, Other Unspecified Languages, Russian Polish Other Slavic Languages, Other Indo-European Languages, or Vietnamese within the subject Watersheds.</w:t>
      </w:r>
    </w:p>
    <w:p>
      <w:pPr>
        <w:pStyle w:val="BodyText"/>
        <w:spacing w:before="4"/>
        <w:rPr>
          <w:sz w:val="21"/>
        </w:rPr>
      </w:pPr>
    </w:p>
    <w:p>
      <w:pPr>
        <w:pStyle w:val="BodyText"/>
        <w:spacing w:line="256" w:lineRule="auto"/>
        <w:ind w:left="909" w:right="1113"/>
      </w:pPr>
      <w:r>
        <w:rPr/>
        <w:t>From the State Water Board’s 2023 Needs Assessment dataset, the Los Angeles Water Board found low water shortage risk and no saltwater intrusion points to</w:t>
      </w:r>
    </w:p>
    <w:p>
      <w:pPr>
        <w:pStyle w:val="BodyText"/>
        <w:rPr>
          <w:sz w:val="14"/>
        </w:rPr>
      </w:pPr>
      <w:r>
        <w:rPr/>
        <w:pict>
          <v:shape style="position:absolute;margin-left:72pt;margin-top:10.320483pt;width:144pt;height:.1pt;mso-position-horizontal-relative:page;mso-position-vertical-relative:paragraph;z-index:-251636736;mso-wrap-distance-left:0;mso-wrap-distance-right:0" coordorigin="1440,206" coordsize="2880,0" path="m1440,206l4320,206e" filled="false" stroked="true" strokeweight=".600010pt" strokecolor="#000000">
            <v:path arrowok="t"/>
            <v:stroke dashstyle="solid"/>
            <w10:wrap type="topAndBottom"/>
          </v:shape>
        </w:pict>
      </w:r>
    </w:p>
    <w:p>
      <w:pPr>
        <w:pStyle w:val="BodyText"/>
        <w:rPr>
          <w:sz w:val="20"/>
        </w:rPr>
      </w:pPr>
    </w:p>
    <w:p>
      <w:pPr>
        <w:pStyle w:val="BodyText"/>
        <w:spacing w:before="6"/>
        <w:rPr>
          <w:sz w:val="22"/>
        </w:rPr>
      </w:pPr>
    </w:p>
    <w:p>
      <w:pPr>
        <w:spacing w:line="237" w:lineRule="auto" w:before="97"/>
        <w:ind w:left="280" w:right="1879" w:firstLine="0"/>
        <w:jc w:val="both"/>
        <w:rPr>
          <w:sz w:val="20"/>
        </w:rPr>
      </w:pPr>
      <w:r>
        <w:rPr>
          <w:position w:val="7"/>
          <w:sz w:val="13"/>
        </w:rPr>
        <w:t>17 </w:t>
      </w:r>
      <w:r>
        <w:rPr>
          <w:color w:val="0000FF"/>
          <w:sz w:val="20"/>
          <w:u w:val="single" w:color="0000FF"/>
        </w:rPr>
        <w:t>TMDLs | Los Angeles Regional Water Quality Control Board (ca.gov)</w:t>
      </w:r>
      <w:r>
        <w:rPr>
          <w:color w:val="0000FF"/>
          <w:sz w:val="20"/>
        </w:rPr>
        <w:t> </w:t>
      </w:r>
      <w:r>
        <w:rPr>
          <w:sz w:val="20"/>
        </w:rPr>
        <w:t>(accessed April 4, 2023) </w:t>
      </w:r>
      <w:r>
        <w:rPr>
          <w:position w:val="7"/>
          <w:sz w:val="13"/>
        </w:rPr>
        <w:t>18 </w:t>
      </w:r>
      <w:r>
        <w:rPr>
          <w:color w:val="0000FF"/>
          <w:sz w:val="20"/>
          <w:u w:val="single" w:color="0000FF"/>
        </w:rPr>
        <w:t>Drinking Water Quality: Needs Assessment | California State Water Resources Control Board</w:t>
      </w:r>
      <w:r>
        <w:rPr>
          <w:color w:val="0000FF"/>
          <w:sz w:val="20"/>
        </w:rPr>
        <w:t> </w:t>
      </w:r>
      <w:r>
        <w:rPr>
          <w:sz w:val="20"/>
        </w:rPr>
        <w:t>(accessed March 23, 2023)</w:t>
      </w:r>
    </w:p>
    <w:p>
      <w:pPr>
        <w:spacing w:after="0" w:line="237" w:lineRule="auto"/>
        <w:jc w:val="both"/>
        <w:rPr>
          <w:sz w:val="20"/>
        </w:rPr>
        <w:sectPr>
          <w:pgSz w:w="12240" w:h="15840"/>
          <w:pgMar w:header="728" w:footer="788" w:top="1540" w:bottom="980" w:left="1160" w:right="420"/>
        </w:sectPr>
      </w:pPr>
    </w:p>
    <w:p>
      <w:pPr>
        <w:pStyle w:val="BodyText"/>
        <w:spacing w:before="11"/>
        <w:rPr>
          <w:sz w:val="15"/>
        </w:rPr>
      </w:pPr>
    </w:p>
    <w:p>
      <w:pPr>
        <w:pStyle w:val="BodyText"/>
        <w:spacing w:line="256" w:lineRule="auto" w:before="92"/>
        <w:ind w:left="909" w:right="1126"/>
      </w:pPr>
      <w:r>
        <w:rPr/>
        <w:t>groundwater for the Watershed Management Areas. However, water quality risk for the receiving waters associated with the subject Watersheds is medium to high. Further information about the receiving waters and associated TMDLs can be found in section 2.4 of the Fact Sheet (Attachment F). Socioeconomic risk ranges from low to high across the subject Watersheds, with a statistically significant positive correlation between socioeconomic risk and water quality risk. Based upon the combination of these factors, the overall SAFER Program Needs Assessment of the subject Watersheds is Potentially At-risk.</w:t>
      </w:r>
    </w:p>
    <w:p>
      <w:pPr>
        <w:pStyle w:val="BodyText"/>
        <w:spacing w:line="256" w:lineRule="auto" w:before="232"/>
        <w:ind w:left="909" w:right="1033"/>
      </w:pPr>
      <w:r>
        <w:rPr/>
        <w:t>On December 7 and 16, 2021, the Los Angeles Water Board held a stakeholder meeting with potential owners and operators of commercial, industrial, and institutional facilities in the Watershed Management Areas of the regulatory background and the potential requirements and compliance options for stormwater runoff covered by this General Permit. A workshop was presented to potential owners and operators and agencies regarding this permit was conducted on August 30, 2022. Comments on this General Permit were due on October 24, 2022.</w:t>
      </w:r>
    </w:p>
    <w:p>
      <w:pPr>
        <w:pStyle w:val="BodyText"/>
        <w:spacing w:line="256" w:lineRule="auto" w:before="234"/>
        <w:ind w:left="909" w:right="1380"/>
      </w:pPr>
      <w:r>
        <w:rPr/>
        <w:t>On January 17, 2022, the Los Angeles Water Board and U.S. EPA met with Communities for a Better Environment to learn each other’s role and interest in the tentative CII Permit. The Los Angeles Water Board also presented background information and requirements of the tentative CII Permit.</w:t>
      </w:r>
    </w:p>
    <w:p>
      <w:pPr>
        <w:pStyle w:val="BodyText"/>
        <w:spacing w:before="5"/>
        <w:rPr>
          <w:sz w:val="20"/>
        </w:rPr>
      </w:pPr>
    </w:p>
    <w:p>
      <w:pPr>
        <w:pStyle w:val="BodyText"/>
        <w:spacing w:line="256" w:lineRule="auto" w:before="1"/>
        <w:ind w:left="909" w:right="1273"/>
      </w:pPr>
      <w:r>
        <w:rPr/>
        <w:t>On November 2, 2023, the Los Angeles Water Board notified interested tribal communities of the regulatory requirements within the Watershed Management Areas. In this letter, a description of the regulatory background, overview of this General Permit, a map showing the area subject to this General Permit, and the Los Angles Water Board’s point of contact was provided.</w:t>
      </w:r>
    </w:p>
    <w:p>
      <w:pPr>
        <w:pStyle w:val="BodyText"/>
        <w:spacing w:before="5"/>
        <w:rPr>
          <w:sz w:val="20"/>
        </w:rPr>
      </w:pPr>
    </w:p>
    <w:p>
      <w:pPr>
        <w:pStyle w:val="BodyText"/>
        <w:spacing w:line="256" w:lineRule="auto" w:before="1"/>
        <w:ind w:left="909" w:right="1111"/>
      </w:pPr>
      <w:r>
        <w:rPr/>
        <w:t>In summary, disadvantaged communities are located within the Watershed Management Areas. The communities are made up of 15.5% white, 77.2 % BIPOC and 5.7% other ethnicities. The pollution burden percentile is 72.8 % based on CalEnviroScreen 4.0. This General Permit establishes water quality controls that will help protect the beneficial uses of the waterbodies in these BIPOC communities with a fairly high pollution burden percentile. By establishing waste discharge requirements for previously undesignated stormwater discharges, this General Permit serves to address pre-existing water quality inequalities that disproportionately impact disadvantaged communities and tribal communities.</w:t>
      </w:r>
    </w:p>
    <w:p>
      <w:pPr>
        <w:pStyle w:val="Heading1"/>
        <w:numPr>
          <w:ilvl w:val="1"/>
          <w:numId w:val="30"/>
        </w:numPr>
        <w:tabs>
          <w:tab w:pos="871" w:val="left" w:leader="none"/>
        </w:tabs>
        <w:spacing w:line="240" w:lineRule="auto" w:before="230" w:after="0"/>
        <w:ind w:left="870" w:right="0" w:hanging="592"/>
        <w:jc w:val="left"/>
      </w:pPr>
      <w:r>
        <w:rPr/>
        <w:t>Water Quality Control Plan – Los Angeles</w:t>
      </w:r>
      <w:r>
        <w:rPr>
          <w:spacing w:val="-3"/>
        </w:rPr>
        <w:t> </w:t>
      </w:r>
      <w:r>
        <w:rPr/>
        <w:t>Region.</w:t>
      </w:r>
    </w:p>
    <w:p>
      <w:pPr>
        <w:pStyle w:val="BodyText"/>
        <w:rPr>
          <w:b/>
        </w:rPr>
      </w:pPr>
    </w:p>
    <w:p>
      <w:pPr>
        <w:spacing w:before="0"/>
        <w:ind w:left="870" w:right="0" w:firstLine="0"/>
        <w:jc w:val="left"/>
        <w:rPr>
          <w:i/>
          <w:sz w:val="24"/>
        </w:rPr>
      </w:pPr>
      <w:r>
        <w:rPr>
          <w:sz w:val="24"/>
        </w:rPr>
        <w:t>The Los Angeles Water Board’s </w:t>
      </w:r>
      <w:r>
        <w:rPr>
          <w:i/>
          <w:sz w:val="24"/>
        </w:rPr>
        <w:t>Basin Plan for the Coastal Watersheds of Los</w:t>
      </w:r>
    </w:p>
    <w:p>
      <w:pPr>
        <w:spacing w:after="0"/>
        <w:jc w:val="left"/>
        <w:rPr>
          <w:sz w:val="24"/>
        </w:rPr>
        <w:sectPr>
          <w:pgSz w:w="12240" w:h="15840"/>
          <w:pgMar w:header="728" w:footer="788" w:top="1540" w:bottom="980" w:left="1160" w:right="420"/>
        </w:sectPr>
      </w:pPr>
    </w:p>
    <w:p>
      <w:pPr>
        <w:pStyle w:val="BodyText"/>
        <w:spacing w:before="11"/>
        <w:rPr>
          <w:i/>
          <w:sz w:val="15"/>
        </w:rPr>
      </w:pPr>
    </w:p>
    <w:p>
      <w:pPr>
        <w:pStyle w:val="BodyText"/>
        <w:spacing w:before="92"/>
        <w:ind w:left="870" w:right="1031"/>
      </w:pPr>
      <w:r>
        <w:rPr>
          <w:i/>
        </w:rPr>
        <w:t>Angeles and Ventura Counties </w:t>
      </w:r>
      <w:r>
        <w:rPr/>
        <w:t>(Basin Plan) designates beneficial uses, establishes water quality objectives, and contains implementation programs and policies to achieve those objectives. The Basin Plan states that the beneficial uses of any specifically identified waterbody apply to its tributaries if they are not specifically listed in Chapter 2 of the Basin Plan. In addition, the Basin Plan implements state policies, including State Water Resources Control Board (State Water Board) Resolution No. 88-63, which established state policy that all waters, with certain exceptions, should be considered suitable or potentially suitable for municipal or domestic supply. Beneficial uses applicable to the receiving waters are as follows:</w:t>
      </w:r>
    </w:p>
    <w:p>
      <w:pPr>
        <w:pStyle w:val="BodyText"/>
        <w:spacing w:before="10"/>
        <w:rPr>
          <w:sz w:val="20"/>
        </w:rPr>
      </w:pPr>
    </w:p>
    <w:p>
      <w:pPr>
        <w:pStyle w:val="Heading1"/>
        <w:ind w:left="279"/>
      </w:pPr>
      <w:r>
        <w:rPr/>
        <w:t>Table F-2. Basin Plan Beneficial Uses</w:t>
      </w:r>
    </w:p>
    <w:tbl>
      <w:tblPr>
        <w:tblW w:w="0" w:type="auto"/>
        <w:jc w:val="left"/>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05"/>
        <w:gridCol w:w="6210"/>
      </w:tblGrid>
      <w:tr>
        <w:trPr>
          <w:trHeight w:val="551" w:hRule="atLeast"/>
        </w:trPr>
        <w:tc>
          <w:tcPr>
            <w:tcW w:w="3505" w:type="dxa"/>
            <w:shd w:val="clear" w:color="auto" w:fill="D9D9D9"/>
          </w:tcPr>
          <w:p>
            <w:pPr>
              <w:pStyle w:val="TableParagraph"/>
              <w:spacing w:before="138"/>
              <w:ind w:left="458"/>
              <w:jc w:val="left"/>
              <w:rPr>
                <w:b/>
                <w:sz w:val="24"/>
              </w:rPr>
            </w:pPr>
            <w:r>
              <w:rPr>
                <w:b/>
                <w:sz w:val="24"/>
              </w:rPr>
              <w:t>Receiving Water Name</w:t>
            </w:r>
          </w:p>
        </w:tc>
        <w:tc>
          <w:tcPr>
            <w:tcW w:w="6210" w:type="dxa"/>
            <w:shd w:val="clear" w:color="auto" w:fill="D9D9D9"/>
          </w:tcPr>
          <w:p>
            <w:pPr>
              <w:pStyle w:val="TableParagraph"/>
              <w:spacing w:before="138"/>
              <w:ind w:left="332" w:right="327"/>
              <w:rPr>
                <w:b/>
                <w:sz w:val="24"/>
              </w:rPr>
            </w:pPr>
            <w:r>
              <w:rPr>
                <w:b/>
                <w:sz w:val="24"/>
              </w:rPr>
              <w:t>Beneficial Use(s)</w:t>
            </w:r>
          </w:p>
        </w:tc>
      </w:tr>
      <w:tr>
        <w:trPr>
          <w:trHeight w:val="3351" w:hRule="atLeast"/>
        </w:trPr>
        <w:tc>
          <w:tcPr>
            <w:tcW w:w="3505" w:type="dxa"/>
          </w:tcPr>
          <w:p>
            <w:pPr>
              <w:pStyle w:val="TableParagraph"/>
              <w:jc w:val="left"/>
              <w:rPr>
                <w:b/>
                <w:sz w:val="26"/>
              </w:rPr>
            </w:pPr>
          </w:p>
          <w:p>
            <w:pPr>
              <w:pStyle w:val="TableParagraph"/>
              <w:jc w:val="left"/>
              <w:rPr>
                <w:b/>
                <w:sz w:val="26"/>
              </w:rPr>
            </w:pPr>
          </w:p>
          <w:p>
            <w:pPr>
              <w:pStyle w:val="TableParagraph"/>
              <w:jc w:val="left"/>
              <w:rPr>
                <w:b/>
                <w:sz w:val="26"/>
              </w:rPr>
            </w:pPr>
          </w:p>
          <w:p>
            <w:pPr>
              <w:pStyle w:val="TableParagraph"/>
              <w:jc w:val="left"/>
              <w:rPr>
                <w:b/>
                <w:sz w:val="26"/>
              </w:rPr>
            </w:pPr>
          </w:p>
          <w:p>
            <w:pPr>
              <w:pStyle w:val="TableParagraph"/>
              <w:spacing w:before="204"/>
              <w:ind w:left="1171" w:right="636" w:hanging="507"/>
              <w:jc w:val="left"/>
              <w:rPr>
                <w:sz w:val="24"/>
              </w:rPr>
            </w:pPr>
            <w:r>
              <w:rPr>
                <w:sz w:val="24"/>
              </w:rPr>
              <w:t>Dominguez Channel Watershed</w:t>
            </w:r>
          </w:p>
        </w:tc>
        <w:tc>
          <w:tcPr>
            <w:tcW w:w="6210" w:type="dxa"/>
          </w:tcPr>
          <w:p>
            <w:pPr>
              <w:pStyle w:val="TableParagraph"/>
              <w:spacing w:before="100"/>
              <w:ind w:left="333" w:right="327"/>
              <w:rPr>
                <w:sz w:val="24"/>
              </w:rPr>
            </w:pPr>
            <w:r>
              <w:rPr>
                <w:sz w:val="24"/>
                <w:u w:val="single"/>
              </w:rPr>
              <w:t>Existing</w:t>
            </w:r>
            <w:r>
              <w:rPr>
                <w:sz w:val="24"/>
              </w:rPr>
              <w:t>:</w:t>
            </w:r>
          </w:p>
          <w:p>
            <w:pPr>
              <w:pStyle w:val="TableParagraph"/>
              <w:spacing w:before="38"/>
              <w:ind w:left="90" w:right="80" w:hanging="3"/>
              <w:rPr>
                <w:sz w:val="24"/>
              </w:rPr>
            </w:pPr>
            <w:r>
              <w:rPr>
                <w:sz w:val="24"/>
              </w:rPr>
              <w:t>Commercial and sport fishing (COMM), estuarine habitat (EST), marine habitat (MAR), wildlife habitat (WILD), rare, threatened, or endangered species (RARE), migration of aquatic organisms (MIGR), spawning, reproduction, and/or early development (SPAWN), water contact recreation (REC-1), non-contact water recreation (REC-2), and/or high flow suspension.</w:t>
            </w:r>
          </w:p>
          <w:p>
            <w:pPr>
              <w:pStyle w:val="TableParagraph"/>
              <w:spacing w:before="41"/>
              <w:ind w:left="333" w:right="327"/>
              <w:rPr>
                <w:sz w:val="24"/>
              </w:rPr>
            </w:pPr>
            <w:r>
              <w:rPr>
                <w:sz w:val="24"/>
                <w:u w:val="single"/>
              </w:rPr>
              <w:t>Potential</w:t>
            </w:r>
            <w:r>
              <w:rPr>
                <w:sz w:val="24"/>
              </w:rPr>
              <w:t>:</w:t>
            </w:r>
          </w:p>
          <w:p>
            <w:pPr>
              <w:pStyle w:val="TableParagraph"/>
              <w:spacing w:before="35"/>
              <w:ind w:left="337" w:right="327"/>
              <w:rPr>
                <w:sz w:val="24"/>
              </w:rPr>
            </w:pPr>
            <w:r>
              <w:rPr>
                <w:sz w:val="24"/>
              </w:rPr>
              <w:t>Municipal and domestic supply (MUN)</w:t>
            </w:r>
            <w:r>
              <w:rPr>
                <w:position w:val="8"/>
                <w:sz w:val="16"/>
              </w:rPr>
              <w:t>1</w:t>
            </w:r>
            <w:r>
              <w:rPr>
                <w:sz w:val="24"/>
              </w:rPr>
              <w:t>, navigation (NAV), and/or warm freshwater habitat (WARM).</w:t>
            </w:r>
          </w:p>
        </w:tc>
      </w:tr>
      <w:tr>
        <w:trPr>
          <w:trHeight w:val="2997" w:hRule="atLeast"/>
        </w:trPr>
        <w:tc>
          <w:tcPr>
            <w:tcW w:w="3505" w:type="dxa"/>
          </w:tcPr>
          <w:p>
            <w:pPr>
              <w:pStyle w:val="TableParagraph"/>
              <w:jc w:val="left"/>
              <w:rPr>
                <w:b/>
                <w:sz w:val="26"/>
              </w:rPr>
            </w:pPr>
          </w:p>
          <w:p>
            <w:pPr>
              <w:pStyle w:val="TableParagraph"/>
              <w:jc w:val="left"/>
              <w:rPr>
                <w:b/>
                <w:sz w:val="26"/>
              </w:rPr>
            </w:pPr>
          </w:p>
          <w:p>
            <w:pPr>
              <w:pStyle w:val="TableParagraph"/>
              <w:jc w:val="left"/>
              <w:rPr>
                <w:b/>
                <w:sz w:val="26"/>
              </w:rPr>
            </w:pPr>
          </w:p>
          <w:p>
            <w:pPr>
              <w:pStyle w:val="TableParagraph"/>
              <w:spacing w:before="4"/>
              <w:jc w:val="left"/>
              <w:rPr>
                <w:b/>
                <w:sz w:val="28"/>
              </w:rPr>
            </w:pPr>
          </w:p>
          <w:p>
            <w:pPr>
              <w:pStyle w:val="TableParagraph"/>
              <w:ind w:left="1384" w:right="390" w:hanging="968"/>
              <w:jc w:val="left"/>
              <w:rPr>
                <w:sz w:val="24"/>
              </w:rPr>
            </w:pPr>
            <w:r>
              <w:rPr>
                <w:sz w:val="24"/>
              </w:rPr>
              <w:t>Los Angeles/Long Beach Harbor</w:t>
            </w:r>
          </w:p>
        </w:tc>
        <w:tc>
          <w:tcPr>
            <w:tcW w:w="6210" w:type="dxa"/>
          </w:tcPr>
          <w:p>
            <w:pPr>
              <w:pStyle w:val="TableParagraph"/>
              <w:spacing w:before="100"/>
              <w:ind w:left="333" w:right="327"/>
              <w:rPr>
                <w:sz w:val="24"/>
              </w:rPr>
            </w:pPr>
            <w:r>
              <w:rPr>
                <w:sz w:val="24"/>
                <w:u w:val="single"/>
              </w:rPr>
              <w:t>Existing</w:t>
            </w:r>
            <w:r>
              <w:rPr>
                <w:sz w:val="24"/>
              </w:rPr>
              <w:t>:</w:t>
            </w:r>
          </w:p>
          <w:p>
            <w:pPr>
              <w:pStyle w:val="TableParagraph"/>
              <w:spacing w:before="39"/>
              <w:ind w:left="129" w:right="121" w:firstLine="1"/>
              <w:rPr>
                <w:sz w:val="24"/>
              </w:rPr>
            </w:pPr>
            <w:r>
              <w:rPr>
                <w:sz w:val="24"/>
              </w:rPr>
              <w:t>Industrial service supply (IND) navigation (NAV), commercial and sport fishing (COMM), estuarine habitat (EST), marine habitat (MAR), wildlife habitat (WILD), rare, threatened, or endangered species (RARE), migration of aquatic organisms (MIGR), and spawning, reproduction, and/or early development (SPAWN), shellfish harvesting (SHELL), wetland habitat (WET), water contact recreation (REC-1), and/or non-contact water recreation (REC-2).</w:t>
            </w:r>
          </w:p>
        </w:tc>
      </w:tr>
    </w:tbl>
    <w:p>
      <w:pPr>
        <w:spacing w:after="0"/>
        <w:rPr>
          <w:sz w:val="24"/>
        </w:rPr>
        <w:sectPr>
          <w:pgSz w:w="12240" w:h="15840"/>
          <w:pgMar w:header="728" w:footer="788" w:top="1540" w:bottom="980" w:left="1160" w:right="420"/>
        </w:sectPr>
      </w:pPr>
    </w:p>
    <w:p>
      <w:pPr>
        <w:pStyle w:val="BodyText"/>
        <w:spacing w:before="11"/>
        <w:rPr>
          <w:b/>
          <w:sz w:val="23"/>
        </w:rPr>
      </w:pPr>
    </w:p>
    <w:tbl>
      <w:tblPr>
        <w:tblW w:w="0" w:type="auto"/>
        <w:jc w:val="left"/>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05"/>
        <w:gridCol w:w="6210"/>
      </w:tblGrid>
      <w:tr>
        <w:trPr>
          <w:trHeight w:val="551" w:hRule="atLeast"/>
        </w:trPr>
        <w:tc>
          <w:tcPr>
            <w:tcW w:w="3505" w:type="dxa"/>
            <w:shd w:val="clear" w:color="auto" w:fill="D9D9D9"/>
          </w:tcPr>
          <w:p>
            <w:pPr>
              <w:pStyle w:val="TableParagraph"/>
              <w:spacing w:before="139"/>
              <w:ind w:left="297" w:right="289"/>
              <w:rPr>
                <w:b/>
                <w:sz w:val="24"/>
              </w:rPr>
            </w:pPr>
            <w:r>
              <w:rPr>
                <w:b/>
                <w:sz w:val="24"/>
              </w:rPr>
              <w:t>Receiving Water Name</w:t>
            </w:r>
          </w:p>
        </w:tc>
        <w:tc>
          <w:tcPr>
            <w:tcW w:w="6210" w:type="dxa"/>
            <w:shd w:val="clear" w:color="auto" w:fill="D9D9D9"/>
          </w:tcPr>
          <w:p>
            <w:pPr>
              <w:pStyle w:val="TableParagraph"/>
              <w:spacing w:before="139"/>
              <w:ind w:left="332" w:right="327"/>
              <w:rPr>
                <w:b/>
                <w:sz w:val="24"/>
              </w:rPr>
            </w:pPr>
            <w:r>
              <w:rPr>
                <w:b/>
                <w:sz w:val="24"/>
              </w:rPr>
              <w:t>Beneficial Use(s)</w:t>
            </w:r>
          </w:p>
        </w:tc>
      </w:tr>
      <w:tr>
        <w:trPr>
          <w:trHeight w:val="3904" w:hRule="atLeast"/>
        </w:trPr>
        <w:tc>
          <w:tcPr>
            <w:tcW w:w="3505" w:type="dxa"/>
          </w:tcPr>
          <w:p>
            <w:pPr>
              <w:pStyle w:val="TableParagraph"/>
              <w:jc w:val="left"/>
              <w:rPr>
                <w:b/>
                <w:sz w:val="26"/>
              </w:rPr>
            </w:pPr>
          </w:p>
          <w:p>
            <w:pPr>
              <w:pStyle w:val="TableParagraph"/>
              <w:jc w:val="left"/>
              <w:rPr>
                <w:b/>
                <w:sz w:val="26"/>
              </w:rPr>
            </w:pPr>
          </w:p>
          <w:p>
            <w:pPr>
              <w:pStyle w:val="TableParagraph"/>
              <w:jc w:val="left"/>
              <w:rPr>
                <w:b/>
                <w:sz w:val="26"/>
              </w:rPr>
            </w:pPr>
          </w:p>
          <w:p>
            <w:pPr>
              <w:pStyle w:val="TableParagraph"/>
              <w:jc w:val="left"/>
              <w:rPr>
                <w:b/>
                <w:sz w:val="26"/>
              </w:rPr>
            </w:pPr>
          </w:p>
          <w:p>
            <w:pPr>
              <w:pStyle w:val="TableParagraph"/>
              <w:jc w:val="left"/>
              <w:rPr>
                <w:b/>
                <w:sz w:val="26"/>
              </w:rPr>
            </w:pPr>
          </w:p>
          <w:p>
            <w:pPr>
              <w:pStyle w:val="TableParagraph"/>
              <w:spacing w:before="182"/>
              <w:ind w:left="1171" w:right="595" w:hanging="546"/>
              <w:jc w:val="left"/>
              <w:rPr>
                <w:sz w:val="24"/>
              </w:rPr>
            </w:pPr>
            <w:r>
              <w:rPr>
                <w:sz w:val="24"/>
              </w:rPr>
              <w:t>Los Cerritos Channel Watershed</w:t>
            </w:r>
          </w:p>
        </w:tc>
        <w:tc>
          <w:tcPr>
            <w:tcW w:w="6210" w:type="dxa"/>
          </w:tcPr>
          <w:p>
            <w:pPr>
              <w:pStyle w:val="TableParagraph"/>
              <w:spacing w:before="100"/>
              <w:ind w:left="333" w:right="327"/>
              <w:rPr>
                <w:sz w:val="24"/>
              </w:rPr>
            </w:pPr>
            <w:r>
              <w:rPr>
                <w:sz w:val="24"/>
                <w:u w:val="single"/>
              </w:rPr>
              <w:t>Existing</w:t>
            </w:r>
            <w:r>
              <w:rPr>
                <w:sz w:val="24"/>
              </w:rPr>
              <w:t>:</w:t>
            </w:r>
          </w:p>
          <w:p>
            <w:pPr>
              <w:pStyle w:val="TableParagraph"/>
              <w:spacing w:before="39"/>
              <w:ind w:left="129" w:right="121" w:firstLine="1"/>
              <w:rPr>
                <w:sz w:val="24"/>
              </w:rPr>
            </w:pPr>
            <w:r>
              <w:rPr>
                <w:sz w:val="24"/>
              </w:rPr>
              <w:t>Industrial service supply (IND) navigation (NAV), commercial and sport fishing (COMM), estuarine habitat (EST), marine habitat (MAR), wildlife habitat (WILD), rare, threatened, or endangered species (RARE), migration of aquatic organisms (MIGR), and spawning, reproduction, and/or early development (SPAWN), shellfish harvesting (SHELL), wetland habitat (WET), water contact recreation (REC-1), and/or non-contact water recreation (REC-2).</w:t>
            </w:r>
          </w:p>
          <w:p>
            <w:pPr>
              <w:pStyle w:val="TableParagraph"/>
              <w:spacing w:before="40"/>
              <w:ind w:left="333" w:right="327"/>
              <w:rPr>
                <w:sz w:val="24"/>
              </w:rPr>
            </w:pPr>
            <w:r>
              <w:rPr>
                <w:sz w:val="24"/>
                <w:u w:val="single"/>
              </w:rPr>
              <w:t>Potential</w:t>
            </w:r>
            <w:r>
              <w:rPr>
                <w:sz w:val="24"/>
              </w:rPr>
              <w:t>:</w:t>
            </w:r>
          </w:p>
          <w:p>
            <w:pPr>
              <w:pStyle w:val="TableParagraph"/>
              <w:spacing w:before="35"/>
              <w:ind w:left="338" w:right="327"/>
              <w:rPr>
                <w:sz w:val="24"/>
              </w:rPr>
            </w:pPr>
            <w:r>
              <w:rPr>
                <w:sz w:val="24"/>
              </w:rPr>
              <w:t>Municipal and domestic supply (MUN)</w:t>
            </w:r>
            <w:r>
              <w:rPr>
                <w:position w:val="8"/>
                <w:sz w:val="16"/>
              </w:rPr>
              <w:t>1 </w:t>
            </w:r>
            <w:r>
              <w:rPr>
                <w:sz w:val="24"/>
              </w:rPr>
              <w:t>and/or warm freshwater habitat (WARM).</w:t>
            </w:r>
          </w:p>
        </w:tc>
      </w:tr>
      <w:tr>
        <w:trPr>
          <w:trHeight w:val="2442" w:hRule="atLeast"/>
        </w:trPr>
        <w:tc>
          <w:tcPr>
            <w:tcW w:w="3505" w:type="dxa"/>
          </w:tcPr>
          <w:p>
            <w:pPr>
              <w:pStyle w:val="TableParagraph"/>
              <w:jc w:val="left"/>
              <w:rPr>
                <w:b/>
                <w:sz w:val="26"/>
              </w:rPr>
            </w:pPr>
          </w:p>
          <w:p>
            <w:pPr>
              <w:pStyle w:val="TableParagraph"/>
              <w:jc w:val="left"/>
              <w:rPr>
                <w:b/>
                <w:sz w:val="26"/>
              </w:rPr>
            </w:pPr>
          </w:p>
          <w:p>
            <w:pPr>
              <w:pStyle w:val="TableParagraph"/>
              <w:jc w:val="left"/>
              <w:rPr>
                <w:b/>
                <w:sz w:val="26"/>
              </w:rPr>
            </w:pPr>
          </w:p>
          <w:p>
            <w:pPr>
              <w:pStyle w:val="TableParagraph"/>
              <w:spacing w:before="188"/>
              <w:ind w:left="297" w:right="289"/>
              <w:rPr>
                <w:sz w:val="24"/>
              </w:rPr>
            </w:pPr>
            <w:r>
              <w:rPr>
                <w:sz w:val="24"/>
              </w:rPr>
              <w:t>Alamitos Bay</w:t>
            </w:r>
          </w:p>
        </w:tc>
        <w:tc>
          <w:tcPr>
            <w:tcW w:w="6210" w:type="dxa"/>
          </w:tcPr>
          <w:p>
            <w:pPr>
              <w:pStyle w:val="TableParagraph"/>
              <w:spacing w:before="98"/>
              <w:ind w:left="333" w:right="327"/>
              <w:rPr>
                <w:sz w:val="24"/>
              </w:rPr>
            </w:pPr>
            <w:r>
              <w:rPr>
                <w:sz w:val="24"/>
                <w:u w:val="single"/>
              </w:rPr>
              <w:t>Existing</w:t>
            </w:r>
            <w:r>
              <w:rPr>
                <w:sz w:val="24"/>
              </w:rPr>
              <w:t>:</w:t>
            </w:r>
          </w:p>
          <w:p>
            <w:pPr>
              <w:pStyle w:val="TableParagraph"/>
              <w:spacing w:before="40"/>
              <w:ind w:left="129" w:right="121" w:firstLine="1"/>
              <w:rPr>
                <w:sz w:val="24"/>
              </w:rPr>
            </w:pPr>
            <w:r>
              <w:rPr>
                <w:sz w:val="24"/>
              </w:rPr>
              <w:t>Industrial service supply (IND) navigation (NAV), commercial and sport fishing (COMM), estuarine habitat (EST), marine habitat (MAR), wildlife habitat (WILD), rare, threatened, or endangered species (RARE), shellfish harvesting (SHELL), wetland habitat (WET), water contact recreation (REC-1), and/or non-contact water recreation (REC-2).</w:t>
            </w:r>
          </w:p>
        </w:tc>
      </w:tr>
      <w:tr>
        <w:trPr>
          <w:trHeight w:val="1469" w:hRule="atLeast"/>
        </w:trPr>
        <w:tc>
          <w:tcPr>
            <w:tcW w:w="9715" w:type="dxa"/>
            <w:gridSpan w:val="2"/>
          </w:tcPr>
          <w:p>
            <w:pPr>
              <w:pStyle w:val="TableParagraph"/>
              <w:spacing w:before="118"/>
              <w:ind w:left="201"/>
              <w:jc w:val="left"/>
              <w:rPr>
                <w:sz w:val="22"/>
              </w:rPr>
            </w:pPr>
            <w:r>
              <w:rPr>
                <w:sz w:val="22"/>
                <w:u w:val="single"/>
              </w:rPr>
              <w:t>Table Notes</w:t>
            </w:r>
          </w:p>
          <w:p>
            <w:pPr>
              <w:pStyle w:val="TableParagraph"/>
              <w:spacing w:before="61"/>
              <w:ind w:left="57" w:right="98"/>
              <w:jc w:val="left"/>
              <w:rPr>
                <w:sz w:val="20"/>
              </w:rPr>
            </w:pPr>
            <w:r>
              <w:rPr>
                <w:sz w:val="20"/>
              </w:rPr>
              <w:t>The potential municipal and domestic supply (p*MUN) beneficial use for the water body is consistent with the Sources of Drinking Water Policy (page 2-14 of the Basin Plan). However, the Los Angeles Water Board has only conditionally designated the MUN beneficial use. Therefore, the Los Angeles Water Board is not establishing effluent limitations at this time.</w:t>
            </w:r>
          </w:p>
        </w:tc>
      </w:tr>
    </w:tbl>
    <w:p>
      <w:pPr>
        <w:pStyle w:val="BodyText"/>
        <w:rPr>
          <w:b/>
          <w:sz w:val="20"/>
        </w:rPr>
      </w:pPr>
    </w:p>
    <w:p>
      <w:pPr>
        <w:pStyle w:val="BodyText"/>
        <w:spacing w:before="10"/>
        <w:rPr>
          <w:b/>
          <w:sz w:val="16"/>
        </w:rPr>
      </w:pPr>
    </w:p>
    <w:p>
      <w:pPr>
        <w:pStyle w:val="ListParagraph"/>
        <w:numPr>
          <w:ilvl w:val="1"/>
          <w:numId w:val="30"/>
        </w:numPr>
        <w:tabs>
          <w:tab w:pos="871" w:val="left" w:leader="none"/>
        </w:tabs>
        <w:spacing w:line="240" w:lineRule="auto" w:before="92" w:after="0"/>
        <w:ind w:left="870" w:right="0" w:hanging="591"/>
        <w:jc w:val="left"/>
        <w:rPr>
          <w:b/>
          <w:sz w:val="24"/>
        </w:rPr>
      </w:pPr>
      <w:r>
        <w:rPr>
          <w:b/>
          <w:sz w:val="24"/>
        </w:rPr>
        <w:t>Statewide Trash, Mercury and Bacteria</w:t>
      </w:r>
      <w:r>
        <w:rPr>
          <w:b/>
          <w:spacing w:val="-4"/>
          <w:sz w:val="24"/>
        </w:rPr>
        <w:t> </w:t>
      </w:r>
      <w:r>
        <w:rPr>
          <w:b/>
          <w:sz w:val="24"/>
        </w:rPr>
        <w:t>Provisions.</w:t>
      </w:r>
    </w:p>
    <w:p>
      <w:pPr>
        <w:pStyle w:val="BodyText"/>
        <w:rPr>
          <w:b/>
        </w:rPr>
      </w:pPr>
    </w:p>
    <w:p>
      <w:pPr>
        <w:pStyle w:val="BodyText"/>
        <w:ind w:left="870" w:right="1805"/>
      </w:pPr>
      <w:r>
        <w:rPr/>
        <w:t>The State Water Board has adopted various statewide water quality control provisions that are applicable to discharges subject to the Order.</w:t>
      </w:r>
    </w:p>
    <w:p>
      <w:pPr>
        <w:pStyle w:val="BodyText"/>
      </w:pPr>
    </w:p>
    <w:p>
      <w:pPr>
        <w:pStyle w:val="BodyText"/>
        <w:ind w:left="870" w:right="1460"/>
        <w:jc w:val="both"/>
      </w:pPr>
      <w:r>
        <w:rPr/>
        <w:t>The </w:t>
      </w:r>
      <w:r>
        <w:rPr>
          <w:i/>
        </w:rPr>
        <w:t>Trash Provisions </w:t>
      </w:r>
      <w:r>
        <w:rPr/>
        <w:t>were adopted by the State Water Board on April 7, 2015 through Resolution No. 2015-0019. The Office of Administrative Law approved them on December 2, 2015 and USEPA approved them on January 12, 2016.</w:t>
      </w:r>
    </w:p>
    <w:p>
      <w:pPr>
        <w:pStyle w:val="BodyText"/>
      </w:pPr>
    </w:p>
    <w:p>
      <w:pPr>
        <w:spacing w:before="0"/>
        <w:ind w:left="870" w:right="1179" w:firstLine="0"/>
        <w:jc w:val="left"/>
        <w:rPr>
          <w:sz w:val="24"/>
        </w:rPr>
      </w:pPr>
      <w:r>
        <w:rPr>
          <w:sz w:val="24"/>
        </w:rPr>
        <w:t>The </w:t>
      </w:r>
      <w:r>
        <w:rPr>
          <w:i/>
          <w:sz w:val="24"/>
        </w:rPr>
        <w:t>Tribal Subsistence Beneficial Uses and Mercury Provisions </w:t>
      </w:r>
      <w:r>
        <w:rPr>
          <w:sz w:val="24"/>
        </w:rPr>
        <w:t>were adopted by the State Water Board on May 2, 2017 through Resolution No. 2017-0027. The Office of Administrative Law approved them on June 28, 2017 and USEPA approved them on July 14, 2017.</w:t>
      </w:r>
    </w:p>
    <w:p>
      <w:pPr>
        <w:spacing w:after="0"/>
        <w:jc w:val="left"/>
        <w:rPr>
          <w:sz w:val="24"/>
        </w:rPr>
        <w:sectPr>
          <w:pgSz w:w="12240" w:h="15840"/>
          <w:pgMar w:header="728" w:footer="788" w:top="1540" w:bottom="980" w:left="1160" w:right="420"/>
        </w:sectPr>
      </w:pPr>
    </w:p>
    <w:p>
      <w:pPr>
        <w:pStyle w:val="BodyText"/>
        <w:rPr>
          <w:sz w:val="20"/>
        </w:rPr>
      </w:pPr>
    </w:p>
    <w:p>
      <w:pPr>
        <w:pStyle w:val="BodyText"/>
        <w:spacing w:before="11"/>
        <w:rPr>
          <w:sz w:val="19"/>
        </w:rPr>
      </w:pPr>
    </w:p>
    <w:p>
      <w:pPr>
        <w:pStyle w:val="BodyText"/>
        <w:spacing w:before="92"/>
        <w:ind w:left="870" w:right="1090"/>
      </w:pPr>
      <w:r>
        <w:rPr/>
        <w:t>The </w:t>
      </w:r>
      <w:r>
        <w:rPr>
          <w:i/>
        </w:rPr>
        <w:t>Bacteria Provisions and Variance Policy </w:t>
      </w:r>
      <w:r>
        <w:rPr/>
        <w:t>(Bacteria Provisions) were adopted by the State Water Board on August 7, 2018 through Resolution No. 2018-0038. The Office of Administrative Law approved them on February 4, 2019 and USEPA approved them on March 22, 2019. The water quality objectives in the Bacteria Provisions supersede any numeric water quality objectives for bacteria for the protection of the REC-1 beneficial use in basin plans prior to the effective date of the Bacteria Provisions, except in certain circumstances, such as where there are site-specific numeric water quality objectives for bacteria. TMDLs established before March 22, 2019 remain in effect.</w:t>
      </w:r>
    </w:p>
    <w:p>
      <w:pPr>
        <w:pStyle w:val="BodyText"/>
        <w:spacing w:before="10"/>
        <w:rPr>
          <w:sz w:val="20"/>
        </w:rPr>
      </w:pPr>
    </w:p>
    <w:p>
      <w:pPr>
        <w:pStyle w:val="Heading1"/>
        <w:numPr>
          <w:ilvl w:val="1"/>
          <w:numId w:val="30"/>
        </w:numPr>
        <w:tabs>
          <w:tab w:pos="871" w:val="left" w:leader="none"/>
        </w:tabs>
        <w:spacing w:line="240" w:lineRule="auto" w:before="0" w:after="0"/>
        <w:ind w:left="870" w:right="0" w:hanging="592"/>
        <w:jc w:val="left"/>
      </w:pPr>
      <w:r>
        <w:rPr/>
        <w:t>Thermal Plan.</w:t>
      </w:r>
    </w:p>
    <w:p>
      <w:pPr>
        <w:pStyle w:val="BodyText"/>
        <w:rPr>
          <w:b/>
        </w:rPr>
      </w:pPr>
    </w:p>
    <w:p>
      <w:pPr>
        <w:pStyle w:val="BodyText"/>
        <w:spacing w:before="1"/>
        <w:ind w:left="870" w:right="1151"/>
      </w:pPr>
      <w:r>
        <w:rPr/>
        <w:t>The State Water Board adopted the Water Quality Control Plan for Control of Temperature in the Coastal and Interstate Waters and Enclosed Bays and Estuaries of California (Thermal Plan) on January 7, 1971 and amended this plan on September 18, 1975. This Plan contains temperature objectives for coastal waters.</w:t>
      </w:r>
    </w:p>
    <w:p>
      <w:pPr>
        <w:pStyle w:val="BodyText"/>
        <w:spacing w:before="9"/>
        <w:rPr>
          <w:sz w:val="20"/>
        </w:rPr>
      </w:pPr>
    </w:p>
    <w:p>
      <w:pPr>
        <w:pStyle w:val="Heading1"/>
        <w:numPr>
          <w:ilvl w:val="1"/>
          <w:numId w:val="30"/>
        </w:numPr>
        <w:tabs>
          <w:tab w:pos="871" w:val="left" w:leader="none"/>
        </w:tabs>
        <w:spacing w:line="240" w:lineRule="auto" w:before="1" w:after="0"/>
        <w:ind w:left="870" w:right="0" w:hanging="592"/>
        <w:jc w:val="left"/>
      </w:pPr>
      <w:r>
        <w:rPr/>
        <w:t>Sediment</w:t>
      </w:r>
      <w:r>
        <w:rPr>
          <w:spacing w:val="-1"/>
        </w:rPr>
        <w:t> </w:t>
      </w:r>
      <w:r>
        <w:rPr/>
        <w:t>Quality.</w:t>
      </w:r>
    </w:p>
    <w:p>
      <w:pPr>
        <w:pStyle w:val="BodyText"/>
        <w:rPr>
          <w:b/>
        </w:rPr>
      </w:pPr>
    </w:p>
    <w:p>
      <w:pPr>
        <w:pStyle w:val="BodyText"/>
        <w:ind w:left="870" w:right="1020"/>
      </w:pPr>
      <w:r>
        <w:rPr/>
        <w:t>The State Water Board adopted the </w:t>
      </w:r>
      <w:r>
        <w:rPr>
          <w:i/>
        </w:rPr>
        <w:t>Sediment Quality Provisions </w:t>
      </w:r>
      <w:r>
        <w:rPr/>
        <w:t>on September 16, 2008, and it became effective on August 25, 2009. The provisions supersede other narrative sediment quality objectives and establish new sediment quality objectives and related implementation provisions for specifically defined sediments in most bays and estuaries. The State Water Board amended the Plan in 2011 and 2018; the latest amendments became effective on March 11,</w:t>
      </w:r>
      <w:r>
        <w:rPr>
          <w:spacing w:val="-16"/>
        </w:rPr>
        <w:t> </w:t>
      </w:r>
      <w:r>
        <w:rPr/>
        <w:t>2019.</w:t>
      </w:r>
    </w:p>
    <w:p>
      <w:pPr>
        <w:pStyle w:val="BodyText"/>
        <w:spacing w:line="275" w:lineRule="exact"/>
        <w:ind w:left="870"/>
      </w:pPr>
      <w:r>
        <w:rPr/>
        <w:t>Requirements of this Order implement sediment quality objectives of this Plan.</w:t>
      </w:r>
    </w:p>
    <w:p>
      <w:pPr>
        <w:pStyle w:val="BodyText"/>
        <w:spacing w:before="10"/>
        <w:rPr>
          <w:sz w:val="20"/>
        </w:rPr>
      </w:pPr>
    </w:p>
    <w:p>
      <w:pPr>
        <w:pStyle w:val="Heading1"/>
        <w:numPr>
          <w:ilvl w:val="1"/>
          <w:numId w:val="30"/>
        </w:numPr>
        <w:tabs>
          <w:tab w:pos="871" w:val="left" w:leader="none"/>
        </w:tabs>
        <w:spacing w:line="240" w:lineRule="auto" w:before="0" w:after="0"/>
        <w:ind w:left="870" w:right="0" w:hanging="591"/>
        <w:jc w:val="left"/>
      </w:pPr>
      <w:r>
        <w:rPr/>
        <w:t>National Toxics Rule (NTR) and California Toxics Rule</w:t>
      </w:r>
      <w:r>
        <w:rPr>
          <w:spacing w:val="-4"/>
        </w:rPr>
        <w:t> </w:t>
      </w:r>
      <w:r>
        <w:rPr/>
        <w:t>(CTR).</w:t>
      </w:r>
    </w:p>
    <w:p>
      <w:pPr>
        <w:pStyle w:val="BodyText"/>
        <w:rPr>
          <w:b/>
        </w:rPr>
      </w:pPr>
    </w:p>
    <w:p>
      <w:pPr>
        <w:pStyle w:val="BodyText"/>
        <w:ind w:left="870" w:right="1138"/>
      </w:pPr>
      <w:r>
        <w:rPr/>
        <w:t>USEPA promulgated the NTR on December 22, 1992, and later revised it on May 4, 1995 and November 9, 1999. About forty water quality criteria in the NTR applied in California. On May 18, 2000, USEPA promulgated the CTR (40 CFR section 131.38). The CTR promulgated new toxics criteria for California and, in addition, incorporated the previously adopted NTR criteria that were applicable in the state. The CTR was revised on February 13, 2001. These rules contain water quality criteria for priority pollutants.</w:t>
      </w:r>
    </w:p>
    <w:p>
      <w:pPr>
        <w:pStyle w:val="BodyText"/>
        <w:spacing w:before="10"/>
        <w:rPr>
          <w:sz w:val="20"/>
        </w:rPr>
      </w:pPr>
    </w:p>
    <w:p>
      <w:pPr>
        <w:pStyle w:val="Heading1"/>
        <w:numPr>
          <w:ilvl w:val="1"/>
          <w:numId w:val="30"/>
        </w:numPr>
        <w:tabs>
          <w:tab w:pos="871" w:val="left" w:leader="none"/>
        </w:tabs>
        <w:spacing w:line="240" w:lineRule="auto" w:before="0" w:after="0"/>
        <w:ind w:left="870" w:right="0" w:hanging="591"/>
        <w:jc w:val="left"/>
      </w:pPr>
      <w:r>
        <w:rPr/>
        <w:t>State Implementation Policy</w:t>
      </w:r>
      <w:r>
        <w:rPr>
          <w:spacing w:val="-1"/>
        </w:rPr>
        <w:t> </w:t>
      </w:r>
      <w:r>
        <w:rPr/>
        <w:t>(SIP).</w:t>
      </w:r>
    </w:p>
    <w:p>
      <w:pPr>
        <w:pStyle w:val="BodyText"/>
        <w:rPr>
          <w:b/>
        </w:rPr>
      </w:pPr>
    </w:p>
    <w:p>
      <w:pPr>
        <w:spacing w:before="0"/>
        <w:ind w:left="870" w:right="1065" w:firstLine="0"/>
        <w:jc w:val="left"/>
        <w:rPr>
          <w:sz w:val="24"/>
        </w:rPr>
      </w:pPr>
      <w:r>
        <w:rPr>
          <w:sz w:val="24"/>
        </w:rPr>
        <w:t>On March 2, 2000, the State Water Board adopted the </w:t>
      </w:r>
      <w:r>
        <w:rPr>
          <w:i/>
          <w:sz w:val="24"/>
        </w:rPr>
        <w:t>Policy for Implementation </w:t>
      </w:r>
      <w:r>
        <w:rPr>
          <w:i/>
          <w:sz w:val="24"/>
        </w:rPr>
        <w:t>of Toxics Standards for Inland Surface Waters, Enclosed Bays, and Estuaries of California </w:t>
      </w:r>
      <w:r>
        <w:rPr>
          <w:sz w:val="24"/>
        </w:rPr>
        <w:t>(State Implementation Policy or SIP). The SIP became effective on April 28, 2000 with respect to the priority pollutant criteria promulgated for California by the USEPA through the NTR and to the priority pollutant objectives established by</w:t>
      </w:r>
    </w:p>
    <w:p>
      <w:pPr>
        <w:spacing w:after="0"/>
        <w:jc w:val="left"/>
        <w:rPr>
          <w:sz w:val="24"/>
        </w:rPr>
        <w:sectPr>
          <w:pgSz w:w="12240" w:h="15840"/>
          <w:pgMar w:header="728" w:footer="788" w:top="1540" w:bottom="980" w:left="1160" w:right="420"/>
        </w:sectPr>
      </w:pPr>
    </w:p>
    <w:p>
      <w:pPr>
        <w:pStyle w:val="BodyText"/>
        <w:spacing w:before="11"/>
        <w:rPr>
          <w:sz w:val="15"/>
        </w:rPr>
      </w:pPr>
    </w:p>
    <w:p>
      <w:pPr>
        <w:pStyle w:val="BodyText"/>
        <w:spacing w:before="92"/>
        <w:ind w:left="870" w:right="1031"/>
      </w:pPr>
      <w:r>
        <w:rPr/>
        <w:t>the Los Angeles Water Board in the Basin Plan. The SIP became effective on May 18, 2000 with respect to the priority pollutant criteria promulgated by the USEPA through the CTR. The State Water Board adopted amendments to the SIP on February 24, 2005 that became effective on July 13, 2005. The SIP establishes implementation provisions for priority pollutant criteria and objectives and provisions for chronic toxicity control.</w:t>
      </w:r>
    </w:p>
    <w:p>
      <w:pPr>
        <w:pStyle w:val="BodyText"/>
        <w:spacing w:before="10"/>
        <w:rPr>
          <w:sz w:val="20"/>
        </w:rPr>
      </w:pPr>
    </w:p>
    <w:p>
      <w:pPr>
        <w:pStyle w:val="Heading1"/>
        <w:numPr>
          <w:ilvl w:val="1"/>
          <w:numId w:val="30"/>
        </w:numPr>
        <w:tabs>
          <w:tab w:pos="871" w:val="left" w:leader="none"/>
        </w:tabs>
        <w:spacing w:line="240" w:lineRule="auto" w:before="0" w:after="0"/>
        <w:ind w:left="870" w:right="0" w:hanging="591"/>
        <w:jc w:val="left"/>
      </w:pPr>
      <w:r>
        <w:rPr/>
        <w:t>Antidegradation</w:t>
      </w:r>
      <w:r>
        <w:rPr>
          <w:spacing w:val="-1"/>
        </w:rPr>
        <w:t> </w:t>
      </w:r>
      <w:r>
        <w:rPr/>
        <w:t>Policy.</w:t>
      </w:r>
    </w:p>
    <w:p>
      <w:pPr>
        <w:pStyle w:val="BodyText"/>
        <w:rPr>
          <w:b/>
        </w:rPr>
      </w:pPr>
    </w:p>
    <w:p>
      <w:pPr>
        <w:pStyle w:val="BodyText"/>
        <w:ind w:left="870" w:right="1258"/>
      </w:pPr>
      <w:r>
        <w:rPr/>
        <w:t>Section 131.12 of 40 CFR requires that the state water quality standards include an antidegradation policy consistent with the federal policy. The State Water Board established California’s antidegradation policy in State Water Board Resolution No. 68-16. Resolution No. 68-16 incorporates the federal antidegradation policy where the federal policy applies under federal law.</w:t>
      </w:r>
    </w:p>
    <w:p>
      <w:pPr>
        <w:pStyle w:val="BodyText"/>
        <w:spacing w:before="1"/>
        <w:ind w:left="870" w:right="1045"/>
      </w:pPr>
      <w:r>
        <w:rPr/>
        <w:t>Resolution No. 68-16 requires that existing water quality be maintained unless degradation is justified based on specific findings. The Los Angeles Water Board’s Basin Plan implements, and incorporates by reference, both the state and federal antidegradation policies. The permitted discharge is consistent with the antidegradation provision of 40 CFR section 131.12 and State Water Board Resolution No. 68-16.</w:t>
      </w:r>
    </w:p>
    <w:p>
      <w:pPr>
        <w:pStyle w:val="BodyText"/>
        <w:spacing w:before="10"/>
        <w:rPr>
          <w:sz w:val="20"/>
        </w:rPr>
      </w:pPr>
    </w:p>
    <w:p>
      <w:pPr>
        <w:pStyle w:val="Heading1"/>
        <w:numPr>
          <w:ilvl w:val="1"/>
          <w:numId w:val="30"/>
        </w:numPr>
        <w:tabs>
          <w:tab w:pos="871" w:val="left" w:leader="none"/>
        </w:tabs>
        <w:spacing w:line="240" w:lineRule="auto" w:before="0" w:after="0"/>
        <w:ind w:left="870" w:right="0" w:hanging="592"/>
        <w:jc w:val="left"/>
      </w:pPr>
      <w:r>
        <w:rPr/>
        <w:t>Anti-Backsliding</w:t>
      </w:r>
      <w:r>
        <w:rPr>
          <w:spacing w:val="-1"/>
        </w:rPr>
        <w:t> </w:t>
      </w:r>
      <w:r>
        <w:rPr/>
        <w:t>Requirements.</w:t>
      </w:r>
    </w:p>
    <w:p>
      <w:pPr>
        <w:pStyle w:val="BodyText"/>
        <w:spacing w:before="10"/>
        <w:rPr>
          <w:b/>
          <w:sz w:val="23"/>
        </w:rPr>
      </w:pPr>
    </w:p>
    <w:p>
      <w:pPr>
        <w:pStyle w:val="BodyText"/>
        <w:ind w:left="870" w:right="1032"/>
        <w:rPr>
          <w:b/>
        </w:rPr>
      </w:pPr>
      <w:r>
        <w:rPr/>
        <w:t>Sections 402(o)(2) and 303(d)(4) of the CWA and federal regulations at 40 CFR section 122.44(l) restrict backsliding in NPDES permits. These anti-backsliding provisions require that effluent limitations in a reissued permit must be as stringent as those in the previous permit, with some exceptions in which limitations may be relaxed. This Order complies with these anti-backsliding provisions. The anti- backsliding requirements of the CWA and federal regulations generally do not apply here, since this is a brand-new permit that regulates previously unregulated discharges from CII Facilities. </w:t>
      </w:r>
      <w:r>
        <w:rPr>
          <w:b/>
        </w:rPr>
        <w:t>California Water Code Section 13241.</w:t>
      </w:r>
    </w:p>
    <w:p>
      <w:pPr>
        <w:pStyle w:val="BodyText"/>
        <w:rPr>
          <w:b/>
        </w:rPr>
      </w:pPr>
    </w:p>
    <w:p>
      <w:pPr>
        <w:pStyle w:val="BodyText"/>
        <w:ind w:left="870" w:right="1025"/>
      </w:pPr>
      <w:r>
        <w:rPr/>
        <w:t>California Water Code section 13263 requires the Board to take into consideration the provisions of section 13241 in prescribing waste discharge requirements, when such requirements are more stringent than what federal law requires. See, e.g.,</w:t>
      </w:r>
      <w:r>
        <w:rPr>
          <w:spacing w:val="-5"/>
        </w:rPr>
        <w:t> </w:t>
      </w:r>
      <w:r>
        <w:rPr>
          <w:i/>
        </w:rPr>
        <w:t>City</w:t>
      </w:r>
      <w:r>
        <w:rPr>
          <w:i/>
          <w:spacing w:val="-4"/>
        </w:rPr>
        <w:t> </w:t>
      </w:r>
      <w:r>
        <w:rPr>
          <w:i/>
        </w:rPr>
        <w:t>of</w:t>
      </w:r>
      <w:r>
        <w:rPr>
          <w:i/>
          <w:spacing w:val="-4"/>
        </w:rPr>
        <w:t> </w:t>
      </w:r>
      <w:r>
        <w:rPr>
          <w:i/>
        </w:rPr>
        <w:t>Duarte</w:t>
      </w:r>
      <w:r>
        <w:rPr>
          <w:i/>
          <w:spacing w:val="-4"/>
        </w:rPr>
        <w:t> </w:t>
      </w:r>
      <w:r>
        <w:rPr>
          <w:i/>
        </w:rPr>
        <w:t>v.</w:t>
      </w:r>
      <w:r>
        <w:rPr>
          <w:i/>
          <w:spacing w:val="-4"/>
        </w:rPr>
        <w:t> </w:t>
      </w:r>
      <w:r>
        <w:rPr>
          <w:i/>
        </w:rPr>
        <w:t>State</w:t>
      </w:r>
      <w:r>
        <w:rPr>
          <w:i/>
          <w:spacing w:val="-4"/>
        </w:rPr>
        <w:t> </w:t>
      </w:r>
      <w:r>
        <w:rPr>
          <w:i/>
        </w:rPr>
        <w:t>Water</w:t>
      </w:r>
      <w:r>
        <w:rPr>
          <w:i/>
          <w:spacing w:val="-4"/>
        </w:rPr>
        <w:t> </w:t>
      </w:r>
      <w:r>
        <w:rPr>
          <w:i/>
        </w:rPr>
        <w:t>Resources</w:t>
      </w:r>
      <w:r>
        <w:rPr>
          <w:i/>
          <w:spacing w:val="-5"/>
        </w:rPr>
        <w:t> </w:t>
      </w:r>
      <w:r>
        <w:rPr>
          <w:i/>
        </w:rPr>
        <w:t>Control</w:t>
      </w:r>
      <w:r>
        <w:rPr>
          <w:i/>
          <w:spacing w:val="-4"/>
        </w:rPr>
        <w:t> </w:t>
      </w:r>
      <w:r>
        <w:rPr>
          <w:i/>
        </w:rPr>
        <w:t>Board</w:t>
      </w:r>
      <w:r>
        <w:rPr>
          <w:i/>
          <w:spacing w:val="-4"/>
        </w:rPr>
        <w:t> </w:t>
      </w:r>
      <w:r>
        <w:rPr/>
        <w:t>(2021)</w:t>
      </w:r>
      <w:r>
        <w:rPr>
          <w:spacing w:val="-4"/>
        </w:rPr>
        <w:t> </w:t>
      </w:r>
      <w:r>
        <w:rPr/>
        <w:t>60</w:t>
      </w:r>
      <w:r>
        <w:rPr>
          <w:spacing w:val="-4"/>
        </w:rPr>
        <w:t> </w:t>
      </w:r>
      <w:r>
        <w:rPr/>
        <w:t>Cal.App.5th 258, 276; </w:t>
      </w:r>
      <w:r>
        <w:rPr>
          <w:i/>
        </w:rPr>
        <w:t>City of Burbank v. State Water Resources Control Board </w:t>
      </w:r>
      <w:r>
        <w:rPr/>
        <w:t>(2005) 35 Cal.4th 613. The Los Angeles Water Board finds that each of the requirements in the Order are not more stringent than what federal law requires for the control of discharges of pollutants from CII facilities in the Dominguez Channel/Inner and Outer Los Angeles and Long Beach Harbor Watershed and the Los Cerritos Channel/Alamitos Bay Watershed. The Los Angeles Water Board has nevertheless considered the factors set forth in California Water Code section 13241 in issuing the</w:t>
      </w:r>
      <w:r>
        <w:rPr>
          <w:spacing w:val="-1"/>
        </w:rPr>
        <w:t> </w:t>
      </w:r>
      <w:r>
        <w:rPr/>
        <w:t>Order.</w:t>
      </w:r>
    </w:p>
    <w:p>
      <w:pPr>
        <w:spacing w:after="0"/>
        <w:sectPr>
          <w:pgSz w:w="12240" w:h="15840"/>
          <w:pgMar w:header="728" w:footer="788" w:top="1540" w:bottom="980" w:left="1160" w:right="420"/>
        </w:sectPr>
      </w:pPr>
    </w:p>
    <w:p>
      <w:pPr>
        <w:pStyle w:val="BodyText"/>
        <w:spacing w:before="11"/>
        <w:rPr>
          <w:sz w:val="15"/>
        </w:rPr>
      </w:pPr>
    </w:p>
    <w:p>
      <w:pPr>
        <w:pStyle w:val="BodyText"/>
        <w:spacing w:before="92"/>
        <w:ind w:left="870" w:right="1352"/>
      </w:pPr>
      <w:r>
        <w:rPr/>
        <w:t>The Board’s consideration of each of the factors is provided below. The Board makes additional findings with respect to specific program areas throughout the Fact Sheet.</w:t>
      </w:r>
    </w:p>
    <w:p>
      <w:pPr>
        <w:pStyle w:val="BodyText"/>
        <w:spacing w:before="10"/>
        <w:rPr>
          <w:sz w:val="20"/>
        </w:rPr>
      </w:pPr>
    </w:p>
    <w:p>
      <w:pPr>
        <w:pStyle w:val="Heading1"/>
        <w:numPr>
          <w:ilvl w:val="2"/>
          <w:numId w:val="30"/>
        </w:numPr>
        <w:tabs>
          <w:tab w:pos="1101" w:val="left" w:leader="none"/>
        </w:tabs>
        <w:spacing w:line="240" w:lineRule="auto" w:before="0" w:after="0"/>
        <w:ind w:left="1100" w:right="0" w:hanging="822"/>
        <w:jc w:val="left"/>
      </w:pPr>
      <w:r>
        <w:rPr/>
        <w:t>Past, Present, and Probable Future Beneficial Uses of</w:t>
      </w:r>
      <w:r>
        <w:rPr>
          <w:spacing w:val="-6"/>
        </w:rPr>
        <w:t> </w:t>
      </w:r>
      <w:r>
        <w:rPr/>
        <w:t>Water.</w:t>
      </w:r>
    </w:p>
    <w:p>
      <w:pPr>
        <w:pStyle w:val="BodyText"/>
        <w:rPr>
          <w:b/>
        </w:rPr>
      </w:pPr>
    </w:p>
    <w:p>
      <w:pPr>
        <w:pStyle w:val="BodyText"/>
        <w:ind w:left="1100" w:right="1189"/>
      </w:pPr>
      <w:r>
        <w:rPr/>
        <w:t>Section 3.3, Table F-2 identifies the beneficial uses in the Dominguez Channel/Inner and Outer Los Angeles and Long Beach Harbor Watershed and the Los Cerritos Channel/Alamitos Bay Watershed. Beneficial uses of waters impacted by CII discharges covered by the Order are also discussed in section</w:t>
      </w:r>
    </w:p>
    <w:p>
      <w:pPr>
        <w:pStyle w:val="BodyText"/>
        <w:ind w:left="1100" w:right="1029"/>
      </w:pPr>
      <w:r>
        <w:rPr/>
        <w:t>2.3.2 “Description of Receiving Waters and Watershed Management Areas” of this Fact Sheet. As discussed in section 2.3.1, CII discharges convey pollutants such as bacteria, trash, metals, organic compounds (including various pesticides), and nutrients, among others. These pollutants have damaging effects on human health and aquatic and riparian ecosystems. Water quality assessments conducted by the Los Angeles Water Board and USEPA have identified impairment of beneficial uses of water bodies in the two watersheds caused or contributed by these pollutants in CII discharges. As a result of these impairments, there are beach postings, fish consumption advisories, ecosystem and recreational impacts from trash and debris, and toxic conditions for aquatic life, among others. The requirements of the Order will curtail such discharges on a watershed-wide basis, and therefore are necessary to protect and restore the past, present, and probable future beneficial uses of the receiving waters in the Dominguez Channel/Inner and Outer Los Angeles and Long Beach Harbor Watershed and the Los Cerritos Channel/Alamitos Bay Watershed impacted by these pollutants.</w:t>
      </w:r>
    </w:p>
    <w:p>
      <w:pPr>
        <w:pStyle w:val="BodyText"/>
        <w:spacing w:before="9"/>
        <w:rPr>
          <w:sz w:val="20"/>
        </w:rPr>
      </w:pPr>
    </w:p>
    <w:p>
      <w:pPr>
        <w:pStyle w:val="Heading1"/>
        <w:numPr>
          <w:ilvl w:val="2"/>
          <w:numId w:val="32"/>
        </w:numPr>
        <w:tabs>
          <w:tab w:pos="1101" w:val="left" w:leader="none"/>
        </w:tabs>
        <w:spacing w:line="240" w:lineRule="auto" w:before="1" w:after="0"/>
        <w:ind w:left="1100" w:right="2275" w:hanging="821"/>
        <w:jc w:val="left"/>
      </w:pPr>
      <w:r>
        <w:rPr/>
        <w:t>Environmental Characteristics of the Hydrographic Unit Under Consideration, Including the Quality of Water Available</w:t>
      </w:r>
      <w:r>
        <w:rPr>
          <w:spacing w:val="-36"/>
        </w:rPr>
        <w:t> </w:t>
      </w:r>
      <w:r>
        <w:rPr/>
        <w:t>Thereto.</w:t>
      </w:r>
    </w:p>
    <w:p>
      <w:pPr>
        <w:pStyle w:val="BodyText"/>
        <w:rPr>
          <w:b/>
        </w:rPr>
      </w:pPr>
    </w:p>
    <w:p>
      <w:pPr>
        <w:pStyle w:val="BodyText"/>
        <w:ind w:left="1100" w:right="1202"/>
      </w:pPr>
      <w:r>
        <w:rPr/>
        <w:t>The environmental characteristics of the Watershed Management Areas covered by the Order, including the quality of water, is discussed in section 2.4 of this Fact Sheet. Additional information can be found in the Los Angeles Region’s Watershed Management Initiative Chapter and the State’s Clean Water Act Section 303(d) List of impaired waters.</w:t>
      </w:r>
    </w:p>
    <w:p>
      <w:pPr>
        <w:pStyle w:val="BodyText"/>
      </w:pPr>
    </w:p>
    <w:p>
      <w:pPr>
        <w:pStyle w:val="BodyText"/>
        <w:ind w:left="1100" w:right="1015"/>
      </w:pPr>
      <w:r>
        <w:rPr>
          <w:color w:val="0000FF"/>
          <w:u w:val="single" w:color="0000FF"/>
        </w:rPr>
        <w:t>Watershed Management Initiative Chapter</w:t>
      </w:r>
      <w:r>
        <w:rPr>
          <w:color w:val="0000FF"/>
        </w:rPr>
        <w:t> </w:t>
      </w:r>
      <w:hyperlink r:id="rId60">
        <w:r>
          <w:rPr/>
          <w:t>(http://www.waterboards.ca.gov/losangeles/water_issues/programs/regional_</w:t>
        </w:r>
      </w:hyperlink>
      <w:r>
        <w:rPr/>
        <w:t>p</w:t>
      </w:r>
      <w:hyperlink r:id="rId60">
        <w:r>
          <w:rPr/>
          <w:t>ro</w:t>
        </w:r>
      </w:hyperlink>
      <w:r>
        <w:rPr/>
        <w:t> gram/watershed/index.shtml)</w:t>
      </w:r>
    </w:p>
    <w:p>
      <w:pPr>
        <w:pStyle w:val="BodyText"/>
      </w:pPr>
    </w:p>
    <w:p>
      <w:pPr>
        <w:pStyle w:val="BodyText"/>
        <w:ind w:left="1100" w:right="1055"/>
      </w:pPr>
      <w:r>
        <w:rPr>
          <w:color w:val="0000FF"/>
          <w:u w:val="single" w:color="0000FF"/>
        </w:rPr>
        <w:t>Clean Water Act Section 303(d) List of impaired waters</w:t>
      </w:r>
      <w:r>
        <w:rPr>
          <w:color w:val="0000FF"/>
        </w:rPr>
        <w:t> </w:t>
      </w:r>
      <w:hyperlink r:id="rId61">
        <w:r>
          <w:rPr/>
          <w:t>(https://www.waterboards.ca.gov/losangeles/water_issues/programs/303d/ind</w:t>
        </w:r>
      </w:hyperlink>
      <w:r>
        <w:rPr/>
        <w:t>ex</w:t>
      </w:r>
    </w:p>
    <w:p>
      <w:pPr>
        <w:pStyle w:val="BodyText"/>
        <w:ind w:left="1100"/>
      </w:pPr>
      <w:r>
        <w:rPr/>
        <w:t>.html)</w:t>
      </w:r>
    </w:p>
    <w:p>
      <w:pPr>
        <w:spacing w:after="0"/>
        <w:sectPr>
          <w:pgSz w:w="12240" w:h="15840"/>
          <w:pgMar w:header="728" w:footer="788" w:top="1540" w:bottom="980" w:left="1160" w:right="420"/>
        </w:sectPr>
      </w:pPr>
    </w:p>
    <w:p>
      <w:pPr>
        <w:pStyle w:val="BodyText"/>
        <w:spacing w:before="11"/>
        <w:rPr>
          <w:sz w:val="15"/>
        </w:rPr>
      </w:pPr>
    </w:p>
    <w:p>
      <w:pPr>
        <w:pStyle w:val="Heading1"/>
        <w:numPr>
          <w:ilvl w:val="2"/>
          <w:numId w:val="32"/>
        </w:numPr>
        <w:tabs>
          <w:tab w:pos="1101" w:val="left" w:leader="none"/>
        </w:tabs>
        <w:spacing w:line="240" w:lineRule="auto" w:before="92" w:after="0"/>
        <w:ind w:left="1100" w:right="1076" w:hanging="821"/>
        <w:jc w:val="left"/>
      </w:pPr>
      <w:r>
        <w:rPr/>
        <w:t>Water Quality Conditions that Could Reasonably be Achieved Through the Coordinated Control of All Factors Which Affect Water Quality in the</w:t>
      </w:r>
      <w:r>
        <w:rPr>
          <w:spacing w:val="-28"/>
        </w:rPr>
        <w:t> </w:t>
      </w:r>
      <w:r>
        <w:rPr/>
        <w:t>Area.</w:t>
      </w:r>
    </w:p>
    <w:p>
      <w:pPr>
        <w:pStyle w:val="BodyText"/>
        <w:rPr>
          <w:b/>
        </w:rPr>
      </w:pPr>
    </w:p>
    <w:p>
      <w:pPr>
        <w:pStyle w:val="BodyText"/>
        <w:ind w:left="1100" w:right="1308"/>
      </w:pPr>
      <w:r>
        <w:rPr/>
        <w:t>The water quality objectives implemented by the Order have already been established in the Basin Plan and other water quality control plans through a separate regulatory process, and those water quality objectives were deemed reasonable and achievable when they were promulgated in order to protect beneficial uses. The Los Angeles Water Board regulates different types of surface water discharges to attain water quality objectives, including publicly owned treatment works, dewatering activities, groundwater cleanup activities, MS4 discharges, agricultural discharges, and littering. These discharges are regulated through NPDES permits, waste discharge requirements, waivers of waste discharge requirements, and memorandums of understanding in accordance with State and federal law, regulation, and policy. The regulatory mechanisms are issued as part of a watershed management approach, often according to a TMDL program of implementation, to ensure coordinated implementation by all sources at the watershed scale to attain water quality objectives.</w:t>
      </w:r>
    </w:p>
    <w:p>
      <w:pPr>
        <w:pStyle w:val="BodyText"/>
      </w:pPr>
    </w:p>
    <w:p>
      <w:pPr>
        <w:pStyle w:val="BodyText"/>
        <w:spacing w:before="1"/>
        <w:ind w:left="1100" w:right="1017"/>
      </w:pPr>
      <w:r>
        <w:rPr/>
        <w:t>With respect to stormwater specifically, the Los Angeles Water Board and State Water Board regulate many types of stormwater discharges, including those of municipalities, universities and other non-traditional Phase II discharges, industrial sites, construction sites, and state agencies like Caltrans. The Permittees subject to the Order are not solely responsible for ensuring that water quality objectives in the receiving waters are met; rather, achieving and maintaining water quality objectives is a coordinated effort and all regulated dischargers must contribute. That said, as previously noted in section 2.3.1 of this Fact Sheet, CII facilities are a significant source of pollutants to receiving waters and their regulation plays an important role in the achievement of water quality objectives. As an example, USEPA found that CII facilities included in the designation are responsible for approximately 32% of the total zinc load in the Dominguez Channel/Inner and Outer Los Angeles and Long Beach Harbor Watershed and the Los Cerritos Channel/Alamitos Bay Watershed. To not regulate discharges from CII facilities would place an undue burden on other types of discharges, particularly the MS4, to which CII facilities</w:t>
      </w:r>
      <w:r>
        <w:rPr>
          <w:spacing w:val="-19"/>
        </w:rPr>
        <w:t> </w:t>
      </w:r>
      <w:r>
        <w:rPr/>
        <w:t>discharge.</w:t>
      </w:r>
    </w:p>
    <w:p>
      <w:pPr>
        <w:pStyle w:val="BodyText"/>
        <w:ind w:left="1100" w:right="1055"/>
      </w:pPr>
      <w:r>
        <w:rPr/>
        <w:t>Notably, in its residual designation, USEPA estimates that the designation of CII sources would shift approximately 41.5% of the load reduction responsibility from MS4 permittees to CII sources in the watersheds.</w:t>
      </w:r>
    </w:p>
    <w:p>
      <w:pPr>
        <w:pStyle w:val="BodyText"/>
        <w:spacing w:before="10"/>
        <w:rPr>
          <w:sz w:val="23"/>
        </w:rPr>
      </w:pPr>
    </w:p>
    <w:p>
      <w:pPr>
        <w:pStyle w:val="BodyText"/>
        <w:ind w:left="1100" w:right="1475"/>
      </w:pPr>
      <w:r>
        <w:rPr/>
        <w:t>The application of the established water quality objectives to the Permittees’ discharges is reasonably achievable. Permittees can achieve permit requirements by reducing the volume of stormwater and non-stormwater discharged into receiving waters, reducing pollutant loads to stormwater and non-stormwater through source control/pollution prevention, and removing</w:t>
      </w:r>
    </w:p>
    <w:p>
      <w:pPr>
        <w:spacing w:after="0"/>
        <w:sectPr>
          <w:pgSz w:w="12240" w:h="15840"/>
          <w:pgMar w:header="728" w:footer="788" w:top="1540" w:bottom="980" w:left="1160" w:right="420"/>
        </w:sectPr>
      </w:pPr>
    </w:p>
    <w:p>
      <w:pPr>
        <w:pStyle w:val="BodyText"/>
        <w:spacing w:before="11"/>
        <w:rPr>
          <w:sz w:val="15"/>
        </w:rPr>
      </w:pPr>
    </w:p>
    <w:p>
      <w:pPr>
        <w:pStyle w:val="BodyText"/>
        <w:spacing w:before="92"/>
        <w:ind w:left="1100" w:right="1081"/>
      </w:pPr>
      <w:r>
        <w:rPr/>
        <w:t>pollutants that have been loaded into stormwater or non-stormwater before they enter receiving waters, through infiltration or treatment.</w:t>
      </w:r>
    </w:p>
    <w:p>
      <w:pPr>
        <w:pStyle w:val="BodyText"/>
        <w:spacing w:before="10"/>
        <w:rPr>
          <w:sz w:val="20"/>
        </w:rPr>
      </w:pPr>
    </w:p>
    <w:p>
      <w:pPr>
        <w:pStyle w:val="Heading1"/>
        <w:numPr>
          <w:ilvl w:val="2"/>
          <w:numId w:val="32"/>
        </w:numPr>
        <w:tabs>
          <w:tab w:pos="1101" w:val="left" w:leader="none"/>
        </w:tabs>
        <w:spacing w:line="240" w:lineRule="auto" w:before="0" w:after="0"/>
        <w:ind w:left="1100" w:right="0" w:hanging="821"/>
        <w:jc w:val="left"/>
      </w:pPr>
      <w:r>
        <w:rPr/>
        <w:t>Economic</w:t>
      </w:r>
      <w:r>
        <w:rPr>
          <w:spacing w:val="-1"/>
        </w:rPr>
        <w:t> </w:t>
      </w:r>
      <w:r>
        <w:rPr/>
        <w:t>Considerations.</w:t>
      </w:r>
    </w:p>
    <w:p>
      <w:pPr>
        <w:pStyle w:val="BodyText"/>
        <w:rPr>
          <w:b/>
        </w:rPr>
      </w:pPr>
    </w:p>
    <w:p>
      <w:pPr>
        <w:pStyle w:val="BodyText"/>
        <w:ind w:left="1100" w:right="1082"/>
      </w:pPr>
      <w:r>
        <w:rPr/>
        <w:t>Both the cost of compliance with this Order and the cost of not addressing pollutants from CII discharges are evaluated here. The costs of compliance with this Order will vary depending on what kind of BMPs each Discharger chooses to employ, and Dischargers may select the most cost-effective BMPs to control the discharge of pollutants from their facilities. Permittees can achieve permit requirements through a combination of source control, volume reduction, and pollutant treatment. The three compliance options included in the Order provide flexibility to Dischargers in determining how to achieve permit requirements.</w:t>
      </w:r>
    </w:p>
    <w:p>
      <w:pPr>
        <w:pStyle w:val="BodyText"/>
        <w:spacing w:before="1"/>
        <w:rPr>
          <w:sz w:val="21"/>
        </w:rPr>
      </w:pPr>
    </w:p>
    <w:p>
      <w:pPr>
        <w:pStyle w:val="BodyText"/>
        <w:spacing w:line="237" w:lineRule="auto"/>
        <w:ind w:left="1100" w:right="1163"/>
      </w:pPr>
      <w:r>
        <w:rPr/>
        <w:t>The cost of stormwater control technologies is well established and has been analyzed by USEPA and the California Stormwater Quality Association (CASQA) extensively. USEPA provides cost information in its National Menu of Best Management Practices for Stormwater-Pollution Prevention and Good Housekeeping</w:t>
      </w:r>
      <w:r>
        <w:rPr>
          <w:position w:val="8"/>
          <w:sz w:val="16"/>
        </w:rPr>
        <w:t>19 </w:t>
      </w:r>
      <w:r>
        <w:rPr/>
        <w:t>and for Stormwater-Post-Construction</w:t>
      </w:r>
      <w:r>
        <w:rPr>
          <w:position w:val="8"/>
          <w:sz w:val="16"/>
        </w:rPr>
        <w:t>20 </w:t>
      </w:r>
      <w:r>
        <w:rPr/>
        <w:t>. CASQA provides BMP handbooks with design standards and cost estimates for the types of BMPs that CII facilities could employ to comply with the permit, including infiltration, detention, biofiltration, media filtration, and good housekeeping BMPs</w:t>
      </w:r>
      <w:r>
        <w:rPr>
          <w:position w:val="8"/>
          <w:sz w:val="16"/>
        </w:rPr>
        <w:t>21</w:t>
      </w:r>
      <w:r>
        <w:rPr/>
        <w:t>. Additionally, the State Water Board also provided a report on the compliance costs for the 2013 IGP</w:t>
      </w:r>
      <w:r>
        <w:rPr>
          <w:position w:val="8"/>
          <w:sz w:val="16"/>
        </w:rPr>
        <w:t>22</w:t>
      </w:r>
      <w:r>
        <w:rPr/>
        <w:t>. The costs of the BMPs will vary by facility and depend on the volume of runoff from the facility, the characteristics of the area generating the runoff, and the activities occurring in those areas.</w:t>
      </w:r>
    </w:p>
    <w:p>
      <w:pPr>
        <w:pStyle w:val="BodyText"/>
        <w:spacing w:before="2"/>
        <w:rPr>
          <w:sz w:val="22"/>
        </w:rPr>
      </w:pPr>
    </w:p>
    <w:p>
      <w:pPr>
        <w:pStyle w:val="Heading1"/>
        <w:numPr>
          <w:ilvl w:val="3"/>
          <w:numId w:val="32"/>
        </w:numPr>
        <w:tabs>
          <w:tab w:pos="1360" w:val="left" w:leader="none"/>
        </w:tabs>
        <w:spacing w:line="240" w:lineRule="auto" w:before="0" w:after="0"/>
        <w:ind w:left="1360" w:right="0" w:hanging="1081"/>
        <w:jc w:val="left"/>
      </w:pPr>
      <w:r>
        <w:rPr/>
        <w:t>Cost of</w:t>
      </w:r>
      <w:r>
        <w:rPr>
          <w:spacing w:val="-1"/>
        </w:rPr>
        <w:t> </w:t>
      </w:r>
      <w:r>
        <w:rPr/>
        <w:t>Compliance.</w:t>
      </w:r>
    </w:p>
    <w:p>
      <w:pPr>
        <w:pStyle w:val="BodyText"/>
        <w:rPr>
          <w:b/>
        </w:rPr>
      </w:pPr>
    </w:p>
    <w:p>
      <w:pPr>
        <w:pStyle w:val="BodyText"/>
        <w:ind w:left="1359" w:right="1196"/>
      </w:pPr>
      <w:r>
        <w:rPr/>
        <w:t>CII Permittees must consider the unique characteristics of their site when determining their approach to compliance, and only general conclusions can be drawn from the information in this section. Information in this section is based on (1) Regional Board staff experience in administering NPDES General Permit standards for non-structural and structural BMPs, (2) the California Stormwater Quality Association Industrial and Commercial BMP Handbook</w:t>
      </w:r>
      <w:r>
        <w:rPr>
          <w:position w:val="8"/>
          <w:sz w:val="16"/>
        </w:rPr>
        <w:t>23 </w:t>
      </w:r>
      <w:r>
        <w:rPr/>
        <w:t>for BMP effectiveness at pollutant control, and (3) Regional Board public records from WMP implementation within the watersheds</w:t>
      </w:r>
    </w:p>
    <w:p>
      <w:pPr>
        <w:pStyle w:val="BodyText"/>
        <w:rPr>
          <w:sz w:val="20"/>
        </w:rPr>
      </w:pPr>
    </w:p>
    <w:p>
      <w:pPr>
        <w:pStyle w:val="BodyText"/>
        <w:spacing w:before="6"/>
        <w:rPr>
          <w:sz w:val="16"/>
        </w:rPr>
      </w:pPr>
      <w:r>
        <w:rPr/>
        <w:pict>
          <v:shape style="position:absolute;margin-left:72pt;margin-top:11.795337pt;width:144pt;height:.1pt;mso-position-horizontal-relative:page;mso-position-vertical-relative:paragraph;z-index:-251635712;mso-wrap-distance-left:0;mso-wrap-distance-right:0" coordorigin="1440,236" coordsize="2880,0" path="m1440,236l4320,236e" filled="false" stroked="true" strokeweight=".59999pt" strokecolor="#000000">
            <v:path arrowok="t"/>
            <v:stroke dashstyle="solid"/>
            <w10:wrap type="topAndBottom"/>
          </v:shape>
        </w:pict>
      </w:r>
    </w:p>
    <w:p>
      <w:pPr>
        <w:pStyle w:val="BodyText"/>
        <w:rPr>
          <w:sz w:val="20"/>
        </w:rPr>
      </w:pPr>
    </w:p>
    <w:p>
      <w:pPr>
        <w:pStyle w:val="BodyText"/>
        <w:spacing w:before="6"/>
        <w:rPr>
          <w:sz w:val="22"/>
        </w:rPr>
      </w:pPr>
    </w:p>
    <w:p>
      <w:pPr>
        <w:spacing w:before="95"/>
        <w:ind w:left="280" w:right="1035" w:firstLine="0"/>
        <w:jc w:val="left"/>
        <w:rPr>
          <w:sz w:val="20"/>
        </w:rPr>
      </w:pPr>
      <w:r>
        <w:rPr>
          <w:position w:val="7"/>
          <w:sz w:val="13"/>
        </w:rPr>
        <w:t>19 </w:t>
      </w:r>
      <w:r>
        <w:rPr>
          <w:color w:val="0000FF"/>
          <w:sz w:val="20"/>
          <w:u w:val="single" w:color="0000FF"/>
        </w:rPr>
        <w:t>National Menu of Best Management Practices (BMPs) for Stormwater-Pollution Prevention and Good</w:t>
      </w:r>
      <w:r>
        <w:rPr>
          <w:color w:val="0000FF"/>
          <w:sz w:val="20"/>
        </w:rPr>
        <w:t> </w:t>
      </w:r>
      <w:r>
        <w:rPr>
          <w:color w:val="0000FF"/>
          <w:sz w:val="20"/>
          <w:u w:val="single" w:color="0000FF"/>
        </w:rPr>
        <w:t>Housekeeping | US EPA</w:t>
      </w:r>
    </w:p>
    <w:p>
      <w:pPr>
        <w:spacing w:line="228" w:lineRule="exact" w:before="0"/>
        <w:ind w:left="280" w:right="0" w:firstLine="0"/>
        <w:jc w:val="left"/>
        <w:rPr>
          <w:sz w:val="20"/>
        </w:rPr>
      </w:pPr>
      <w:r>
        <w:rPr>
          <w:position w:val="7"/>
          <w:sz w:val="13"/>
        </w:rPr>
        <w:t>20 </w:t>
      </w:r>
      <w:r>
        <w:rPr>
          <w:color w:val="0000FF"/>
          <w:sz w:val="20"/>
          <w:u w:val="single" w:color="0000FF"/>
        </w:rPr>
        <w:t>National Menu of Best Management Practices (BMPs) for Stormwater-Post-Construction | US EPA</w:t>
      </w:r>
    </w:p>
    <w:p>
      <w:pPr>
        <w:spacing w:line="230" w:lineRule="exact" w:before="0"/>
        <w:ind w:left="280" w:right="0" w:firstLine="0"/>
        <w:jc w:val="left"/>
        <w:rPr>
          <w:sz w:val="20"/>
        </w:rPr>
      </w:pPr>
      <w:r>
        <w:rPr>
          <w:position w:val="7"/>
          <w:sz w:val="13"/>
        </w:rPr>
        <w:t>21 </w:t>
      </w:r>
      <w:r>
        <w:rPr>
          <w:color w:val="0000FF"/>
          <w:sz w:val="20"/>
          <w:u w:val="single" w:color="0000FF"/>
        </w:rPr>
        <w:t>BMP Handbooks | CASQA - California Stormwater Quality Association</w:t>
      </w:r>
      <w:r>
        <w:rPr>
          <w:color w:val="0000FF"/>
          <w:sz w:val="20"/>
        </w:rPr>
        <w:t> </w:t>
      </w:r>
      <w:r>
        <w:rPr>
          <w:sz w:val="20"/>
        </w:rPr>
        <w:t>(accessed July 17, 2022)</w:t>
      </w:r>
    </w:p>
    <w:p>
      <w:pPr>
        <w:spacing w:line="230" w:lineRule="exact" w:before="0"/>
        <w:ind w:left="280" w:right="0" w:firstLine="0"/>
        <w:jc w:val="left"/>
        <w:rPr>
          <w:sz w:val="20"/>
        </w:rPr>
      </w:pPr>
      <w:r>
        <w:rPr>
          <w:position w:val="7"/>
          <w:sz w:val="13"/>
        </w:rPr>
        <w:t>22 </w:t>
      </w:r>
      <w:r>
        <w:rPr>
          <w:color w:val="0000FF"/>
          <w:sz w:val="20"/>
          <w:u w:val="single" w:color="0000FF"/>
        </w:rPr>
        <w:t>Report on the Compliance Costs for the Final Draft IGP</w:t>
      </w:r>
    </w:p>
    <w:p>
      <w:pPr>
        <w:spacing w:line="232" w:lineRule="exact" w:before="0"/>
        <w:ind w:left="280" w:right="0" w:firstLine="0"/>
        <w:jc w:val="left"/>
        <w:rPr>
          <w:i/>
          <w:sz w:val="20"/>
        </w:rPr>
      </w:pPr>
      <w:r>
        <w:rPr>
          <w:position w:val="7"/>
          <w:sz w:val="13"/>
        </w:rPr>
        <w:t>23 </w:t>
      </w:r>
      <w:r>
        <w:rPr>
          <w:i/>
          <w:sz w:val="20"/>
        </w:rPr>
        <w:t>Id.</w:t>
      </w:r>
    </w:p>
    <w:p>
      <w:pPr>
        <w:spacing w:after="0" w:line="232" w:lineRule="exact"/>
        <w:jc w:val="left"/>
        <w:rPr>
          <w:sz w:val="20"/>
        </w:rPr>
        <w:sectPr>
          <w:pgSz w:w="12240" w:h="15840"/>
          <w:pgMar w:header="728" w:footer="788" w:top="1540" w:bottom="980" w:left="1160" w:right="420"/>
        </w:sectPr>
      </w:pPr>
    </w:p>
    <w:p>
      <w:pPr>
        <w:pStyle w:val="BodyText"/>
        <w:spacing w:before="3"/>
        <w:rPr>
          <w:i/>
          <w:sz w:val="15"/>
        </w:rPr>
      </w:pPr>
    </w:p>
    <w:p>
      <w:pPr>
        <w:pStyle w:val="BodyText"/>
        <w:spacing w:before="95"/>
        <w:ind w:left="1360" w:right="1236"/>
      </w:pPr>
      <w:r>
        <w:rPr/>
        <w:t>addressed in this Order.</w:t>
      </w:r>
      <w:r>
        <w:rPr>
          <w:position w:val="8"/>
          <w:sz w:val="16"/>
        </w:rPr>
        <w:t>24 </w:t>
      </w:r>
      <w:r>
        <w:rPr/>
        <w:t>The following section generally discusses the stormwater BMPs recommended in section 6.1.5 of this Order and the three Compliance Options for water quality based effluent limitations provided in section 8 of this Order .</w:t>
      </w:r>
    </w:p>
    <w:p>
      <w:pPr>
        <w:pStyle w:val="BodyText"/>
        <w:spacing w:before="1"/>
        <w:rPr>
          <w:sz w:val="21"/>
        </w:rPr>
      </w:pPr>
    </w:p>
    <w:p>
      <w:pPr>
        <w:pStyle w:val="ListParagraph"/>
        <w:numPr>
          <w:ilvl w:val="4"/>
          <w:numId w:val="32"/>
        </w:numPr>
        <w:tabs>
          <w:tab w:pos="1576" w:val="left" w:leader="none"/>
        </w:tabs>
        <w:spacing w:line="237" w:lineRule="auto" w:before="0" w:after="0"/>
        <w:ind w:left="1576" w:right="1043" w:hanging="1296"/>
        <w:jc w:val="left"/>
        <w:rPr>
          <w:sz w:val="16"/>
        </w:rPr>
      </w:pPr>
      <w:r>
        <w:rPr>
          <w:sz w:val="24"/>
          <w:u w:val="single"/>
        </w:rPr>
        <w:t>Minimum BMPs</w:t>
      </w:r>
      <w:r>
        <w:rPr>
          <w:sz w:val="24"/>
        </w:rPr>
        <w:t> selected for this Order include both non-structural: Good Housekeeping, Exposure Minimization, Employee Training Program; and structural: Erosion and Sediment Control.</w:t>
      </w:r>
      <w:r>
        <w:rPr>
          <w:position w:val="8"/>
          <w:sz w:val="16"/>
        </w:rPr>
        <w:t>25 </w:t>
      </w:r>
      <w:r>
        <w:rPr>
          <w:sz w:val="24"/>
        </w:rPr>
        <w:t>These BMPs tend to have lower implementation costs than the costs for other BMPs and can help Dischargers reduce pollutant concentrations in all categories when performed alongside other</w:t>
      </w:r>
      <w:r>
        <w:rPr>
          <w:spacing w:val="-1"/>
          <w:sz w:val="24"/>
        </w:rPr>
        <w:t> </w:t>
      </w:r>
      <w:r>
        <w:rPr>
          <w:sz w:val="24"/>
        </w:rPr>
        <w:t>BMPs.</w:t>
      </w:r>
      <w:r>
        <w:rPr>
          <w:position w:val="8"/>
          <w:sz w:val="16"/>
        </w:rPr>
        <w:t>26</w:t>
      </w:r>
    </w:p>
    <w:p>
      <w:pPr>
        <w:pStyle w:val="ListParagraph"/>
        <w:numPr>
          <w:ilvl w:val="5"/>
          <w:numId w:val="32"/>
        </w:numPr>
        <w:tabs>
          <w:tab w:pos="1790" w:val="left" w:leader="none"/>
        </w:tabs>
        <w:spacing w:line="240" w:lineRule="auto" w:before="245" w:after="0"/>
        <w:ind w:left="1791" w:right="1115" w:hanging="1512"/>
        <w:jc w:val="left"/>
        <w:rPr>
          <w:sz w:val="16"/>
        </w:rPr>
      </w:pPr>
      <w:r>
        <w:rPr>
          <w:sz w:val="24"/>
        </w:rPr>
        <w:t>Good Housekeeping BMPs include, but are not limited to, facility sweeping, preventative maintenance, and spill and leak prevention and response. Upfront costs can range from low to medium depending on the staffing and size of facility. In general, operation and maintenance costs are</w:t>
      </w:r>
      <w:r>
        <w:rPr>
          <w:spacing w:val="-1"/>
          <w:sz w:val="24"/>
        </w:rPr>
        <w:t> </w:t>
      </w:r>
      <w:r>
        <w:rPr>
          <w:sz w:val="24"/>
        </w:rPr>
        <w:t>low.</w:t>
      </w:r>
      <w:r>
        <w:rPr>
          <w:position w:val="8"/>
          <w:sz w:val="16"/>
        </w:rPr>
        <w:t>27</w:t>
      </w:r>
    </w:p>
    <w:p>
      <w:pPr>
        <w:pStyle w:val="ListParagraph"/>
        <w:numPr>
          <w:ilvl w:val="5"/>
          <w:numId w:val="32"/>
        </w:numPr>
        <w:tabs>
          <w:tab w:pos="1791" w:val="left" w:leader="none"/>
        </w:tabs>
        <w:spacing w:line="240" w:lineRule="auto" w:before="235" w:after="0"/>
        <w:ind w:left="1792" w:right="1088" w:hanging="1512"/>
        <w:jc w:val="left"/>
        <w:rPr>
          <w:sz w:val="16"/>
        </w:rPr>
      </w:pPr>
      <w:r>
        <w:rPr>
          <w:sz w:val="24"/>
        </w:rPr>
        <w:t>Exposure Minimization BMPs include, but are not limited to, exposure minimization, material handling and storage, and waste management. Upfront costs can range from low (e.g., moving materials or activities that generate pollutants indoors) to high depending on the facility’s existing material and vehicle containment infrastructure. In general, operation</w:t>
      </w:r>
      <w:r>
        <w:rPr>
          <w:spacing w:val="-48"/>
          <w:sz w:val="24"/>
        </w:rPr>
        <w:t> </w:t>
      </w:r>
      <w:r>
        <w:rPr>
          <w:sz w:val="24"/>
        </w:rPr>
        <w:t>and maintenance costs are</w:t>
      </w:r>
      <w:r>
        <w:rPr>
          <w:spacing w:val="-1"/>
          <w:sz w:val="24"/>
        </w:rPr>
        <w:t> </w:t>
      </w:r>
      <w:r>
        <w:rPr>
          <w:sz w:val="24"/>
        </w:rPr>
        <w:t>low.</w:t>
      </w:r>
      <w:r>
        <w:rPr>
          <w:position w:val="8"/>
          <w:sz w:val="16"/>
        </w:rPr>
        <w:t>28</w:t>
      </w:r>
    </w:p>
    <w:p>
      <w:pPr>
        <w:pStyle w:val="ListParagraph"/>
        <w:numPr>
          <w:ilvl w:val="5"/>
          <w:numId w:val="32"/>
        </w:numPr>
        <w:tabs>
          <w:tab w:pos="1790" w:val="left" w:leader="none"/>
        </w:tabs>
        <w:spacing w:line="237" w:lineRule="auto" w:before="236" w:after="0"/>
        <w:ind w:left="1792" w:right="1020" w:hanging="1512"/>
        <w:jc w:val="left"/>
        <w:rPr>
          <w:sz w:val="16"/>
        </w:rPr>
      </w:pPr>
      <w:r>
        <w:rPr>
          <w:sz w:val="24"/>
        </w:rPr>
        <w:t>Employee Training Program BMPs include, but are not limited to, staff training and education, quality assurance and record keeping. Upfront costs can range from low to medium depending on the staffing and size of facility. In general, operation and maintenance costs are</w:t>
      </w:r>
      <w:r>
        <w:rPr>
          <w:spacing w:val="-14"/>
          <w:sz w:val="24"/>
        </w:rPr>
        <w:t> </w:t>
      </w:r>
      <w:r>
        <w:rPr>
          <w:sz w:val="24"/>
        </w:rPr>
        <w:t>low.</w:t>
      </w:r>
      <w:r>
        <w:rPr>
          <w:position w:val="8"/>
          <w:sz w:val="16"/>
        </w:rPr>
        <w:t>29</w:t>
      </w:r>
    </w:p>
    <w:p>
      <w:pPr>
        <w:pStyle w:val="ListParagraph"/>
        <w:numPr>
          <w:ilvl w:val="5"/>
          <w:numId w:val="32"/>
        </w:numPr>
        <w:tabs>
          <w:tab w:pos="1791" w:val="left" w:leader="none"/>
        </w:tabs>
        <w:spacing w:line="240" w:lineRule="auto" w:before="244" w:after="0"/>
        <w:ind w:left="1792" w:right="1024" w:hanging="1512"/>
        <w:jc w:val="left"/>
        <w:rPr>
          <w:sz w:val="24"/>
        </w:rPr>
      </w:pPr>
      <w:r>
        <w:rPr>
          <w:sz w:val="24"/>
        </w:rPr>
        <w:t>Erosion and Sediment Control BMPs include, but are not limited to, controlling wind erosion, material tracking prevention, site perimeter stabilization, and diversion of stormwater away from all erodible</w:t>
      </w:r>
      <w:r>
        <w:rPr>
          <w:spacing w:val="-48"/>
          <w:sz w:val="24"/>
        </w:rPr>
        <w:t> </w:t>
      </w:r>
      <w:r>
        <w:rPr>
          <w:sz w:val="24"/>
        </w:rPr>
        <w:t>materials. Upfront costs can range from low to high depending on the facility’s</w:t>
      </w:r>
      <w:r>
        <w:rPr>
          <w:spacing w:val="-38"/>
          <w:sz w:val="24"/>
        </w:rPr>
        <w:t> </w:t>
      </w:r>
      <w:r>
        <w:rPr>
          <w:sz w:val="24"/>
        </w:rPr>
        <w:t>prior</w:t>
      </w:r>
    </w:p>
    <w:p>
      <w:pPr>
        <w:pStyle w:val="BodyText"/>
        <w:rPr>
          <w:sz w:val="20"/>
        </w:rPr>
      </w:pPr>
    </w:p>
    <w:p>
      <w:pPr>
        <w:pStyle w:val="BodyText"/>
        <w:rPr>
          <w:sz w:val="20"/>
        </w:rPr>
      </w:pPr>
    </w:p>
    <w:p>
      <w:pPr>
        <w:pStyle w:val="BodyText"/>
        <w:rPr>
          <w:sz w:val="20"/>
        </w:rPr>
      </w:pPr>
    </w:p>
    <w:p>
      <w:pPr>
        <w:pStyle w:val="BodyText"/>
        <w:spacing w:before="3"/>
        <w:rPr>
          <w:sz w:val="15"/>
        </w:rPr>
      </w:pPr>
      <w:r>
        <w:rPr/>
        <w:pict>
          <v:shape style="position:absolute;margin-left:72pt;margin-top:11.0373pt;width:144pt;height:.1pt;mso-position-horizontal-relative:page;mso-position-vertical-relative:paragraph;z-index:-251634688;mso-wrap-distance-left:0;mso-wrap-distance-right:0" coordorigin="1440,221" coordsize="2880,0" path="m1440,221l4320,221e" filled="false" stroked="true" strokeweight=".600010pt" strokecolor="#000000">
            <v:path arrowok="t"/>
            <v:stroke dashstyle="solid"/>
            <w10:wrap type="topAndBottom"/>
          </v:shape>
        </w:pict>
      </w:r>
    </w:p>
    <w:p>
      <w:pPr>
        <w:pStyle w:val="BodyText"/>
        <w:rPr>
          <w:sz w:val="20"/>
        </w:rPr>
      </w:pPr>
    </w:p>
    <w:p>
      <w:pPr>
        <w:pStyle w:val="BodyText"/>
        <w:spacing w:before="5"/>
        <w:rPr>
          <w:sz w:val="22"/>
        </w:rPr>
      </w:pPr>
    </w:p>
    <w:p>
      <w:pPr>
        <w:spacing w:line="232" w:lineRule="exact" w:before="95"/>
        <w:ind w:left="280" w:right="0" w:firstLine="0"/>
        <w:jc w:val="both"/>
        <w:rPr>
          <w:sz w:val="20"/>
        </w:rPr>
      </w:pPr>
      <w:r>
        <w:rPr>
          <w:position w:val="7"/>
          <w:sz w:val="13"/>
        </w:rPr>
        <w:t>24 </w:t>
      </w:r>
      <w:r>
        <w:rPr>
          <w:color w:val="0000FF"/>
          <w:sz w:val="20"/>
          <w:u w:val="single" w:color="0000FF"/>
        </w:rPr>
        <w:t>LARWQCB Watershed Management Programs</w:t>
      </w:r>
      <w:r>
        <w:rPr>
          <w:color w:val="0000FF"/>
          <w:sz w:val="20"/>
        </w:rPr>
        <w:t> </w:t>
      </w:r>
      <w:r>
        <w:rPr>
          <w:sz w:val="20"/>
        </w:rPr>
        <w:t>(accessed December 30, 2022)</w:t>
      </w:r>
    </w:p>
    <w:p>
      <w:pPr>
        <w:spacing w:line="230" w:lineRule="exact" w:before="0"/>
        <w:ind w:left="280" w:right="0" w:firstLine="0"/>
        <w:jc w:val="both"/>
        <w:rPr>
          <w:sz w:val="20"/>
        </w:rPr>
      </w:pPr>
      <w:r>
        <w:rPr>
          <w:position w:val="7"/>
          <w:sz w:val="13"/>
        </w:rPr>
        <w:t>25 </w:t>
      </w:r>
      <w:r>
        <w:rPr>
          <w:sz w:val="20"/>
        </w:rPr>
        <w:t>CASQA Industrial and Commercial BMP Handbook, chapter 3 Source Control BMPs.</w:t>
      </w:r>
    </w:p>
    <w:p>
      <w:pPr>
        <w:spacing w:before="0"/>
        <w:ind w:left="280" w:right="1374" w:firstLine="0"/>
        <w:jc w:val="both"/>
        <w:rPr>
          <w:sz w:val="20"/>
        </w:rPr>
      </w:pPr>
      <w:r>
        <w:rPr>
          <w:position w:val="7"/>
          <w:sz w:val="13"/>
        </w:rPr>
        <w:t>26 </w:t>
      </w:r>
      <w:r>
        <w:rPr>
          <w:color w:val="0000FF"/>
          <w:sz w:val="20"/>
          <w:u w:val="single" w:color="0000FF"/>
        </w:rPr>
        <w:t>U.S. Department of Transportation, Federal Highway Administration. Stormwater Best Management</w:t>
      </w:r>
      <w:r>
        <w:rPr>
          <w:color w:val="0000FF"/>
          <w:sz w:val="20"/>
        </w:rPr>
        <w:t> </w:t>
      </w:r>
      <w:r>
        <w:rPr>
          <w:color w:val="0000FF"/>
          <w:sz w:val="20"/>
          <w:u w:val="single" w:color="0000FF"/>
        </w:rPr>
        <w:t>Practices in an Ultra-Urban Setting: Selection and Monitoring. Section 6.5.1.</w:t>
      </w:r>
      <w:r>
        <w:rPr>
          <w:color w:val="0000FF"/>
          <w:sz w:val="20"/>
        </w:rPr>
        <w:t> </w:t>
      </w:r>
      <w:r>
        <w:rPr>
          <w:sz w:val="20"/>
        </w:rPr>
        <w:t>(accessed December 30, 2022)</w:t>
      </w:r>
    </w:p>
    <w:p>
      <w:pPr>
        <w:spacing w:line="227" w:lineRule="exact" w:before="0"/>
        <w:ind w:left="280" w:right="0" w:firstLine="0"/>
        <w:jc w:val="left"/>
        <w:rPr>
          <w:i/>
          <w:sz w:val="20"/>
        </w:rPr>
      </w:pPr>
      <w:r>
        <w:rPr>
          <w:position w:val="7"/>
          <w:sz w:val="13"/>
        </w:rPr>
        <w:t>27 </w:t>
      </w:r>
      <w:r>
        <w:rPr>
          <w:i/>
          <w:sz w:val="20"/>
        </w:rPr>
        <w:t>Id., Section 6.5 Table 57.</w:t>
      </w:r>
    </w:p>
    <w:p>
      <w:pPr>
        <w:spacing w:line="230" w:lineRule="exact" w:before="0"/>
        <w:ind w:left="280" w:right="0" w:firstLine="0"/>
        <w:jc w:val="left"/>
        <w:rPr>
          <w:i/>
          <w:sz w:val="20"/>
        </w:rPr>
      </w:pPr>
      <w:r>
        <w:rPr>
          <w:position w:val="7"/>
          <w:sz w:val="13"/>
        </w:rPr>
        <w:t>28</w:t>
      </w:r>
      <w:r>
        <w:rPr>
          <w:spacing w:val="14"/>
          <w:position w:val="7"/>
          <w:sz w:val="13"/>
        </w:rPr>
        <w:t> </w:t>
      </w:r>
      <w:r>
        <w:rPr>
          <w:i/>
          <w:sz w:val="20"/>
        </w:rPr>
        <w:t>Id.</w:t>
      </w:r>
    </w:p>
    <w:p>
      <w:pPr>
        <w:spacing w:line="232" w:lineRule="exact" w:before="0"/>
        <w:ind w:left="280" w:right="0" w:firstLine="0"/>
        <w:jc w:val="left"/>
        <w:rPr>
          <w:i/>
          <w:sz w:val="20"/>
        </w:rPr>
      </w:pPr>
      <w:r>
        <w:rPr>
          <w:position w:val="7"/>
          <w:sz w:val="13"/>
        </w:rPr>
        <w:t>29</w:t>
      </w:r>
      <w:r>
        <w:rPr>
          <w:spacing w:val="14"/>
          <w:position w:val="7"/>
          <w:sz w:val="13"/>
        </w:rPr>
        <w:t> </w:t>
      </w:r>
      <w:r>
        <w:rPr>
          <w:i/>
          <w:sz w:val="20"/>
        </w:rPr>
        <w:t>Id.</w:t>
      </w:r>
    </w:p>
    <w:p>
      <w:pPr>
        <w:spacing w:after="0" w:line="232" w:lineRule="exact"/>
        <w:jc w:val="left"/>
        <w:rPr>
          <w:sz w:val="20"/>
        </w:rPr>
        <w:sectPr>
          <w:pgSz w:w="12240" w:h="15840"/>
          <w:pgMar w:header="728" w:footer="788" w:top="1540" w:bottom="980" w:left="1160" w:right="420"/>
        </w:sectPr>
      </w:pPr>
    </w:p>
    <w:p>
      <w:pPr>
        <w:pStyle w:val="BodyText"/>
        <w:spacing w:before="11"/>
        <w:rPr>
          <w:i/>
          <w:sz w:val="15"/>
        </w:rPr>
      </w:pPr>
    </w:p>
    <w:p>
      <w:pPr>
        <w:pStyle w:val="BodyText"/>
        <w:spacing w:line="235" w:lineRule="auto" w:before="97"/>
        <w:ind w:left="1792" w:right="1509"/>
        <w:rPr>
          <w:sz w:val="16"/>
        </w:rPr>
      </w:pPr>
      <w:r>
        <w:rPr/>
        <w:t>adherence to building ordinance standards. In general, operation and maintenance costs are low.</w:t>
      </w:r>
      <w:r>
        <w:rPr>
          <w:position w:val="8"/>
          <w:sz w:val="16"/>
        </w:rPr>
        <w:t>30</w:t>
      </w:r>
    </w:p>
    <w:p>
      <w:pPr>
        <w:pStyle w:val="ListParagraph"/>
        <w:numPr>
          <w:ilvl w:val="4"/>
          <w:numId w:val="32"/>
        </w:numPr>
        <w:tabs>
          <w:tab w:pos="1575" w:val="left" w:leader="none"/>
        </w:tabs>
        <w:spacing w:line="240" w:lineRule="auto" w:before="241" w:after="0"/>
        <w:ind w:left="1575" w:right="1092" w:hanging="1296"/>
        <w:jc w:val="left"/>
        <w:rPr>
          <w:sz w:val="16"/>
        </w:rPr>
      </w:pPr>
      <w:r>
        <w:rPr>
          <w:sz w:val="24"/>
          <w:u w:val="single"/>
        </w:rPr>
        <w:t>Compliance Option 1</w:t>
      </w:r>
      <w:r>
        <w:rPr>
          <w:sz w:val="24"/>
        </w:rPr>
        <w:t> allows Dischargers to pay into a multi-benefit regional project identified in a Watershed management Group’s WMP. The Los Angeles Water Board is working with Watershed management Groups in the Dominguez Channel/Inner and Outer Los Angeles and Long Beach Harbor Watershed and the Los Cerritos Channel/Alamitos Bay Watershed to develop a fee structure for CII facilities to participate in regional BMPs in</w:t>
      </w:r>
      <w:r>
        <w:rPr>
          <w:position w:val="-7"/>
          <w:sz w:val="24"/>
        </w:rPr>
        <w:t> the</w:t>
      </w:r>
      <w:r>
        <w:rPr>
          <w:spacing w:val="-1"/>
          <w:position w:val="-7"/>
          <w:sz w:val="24"/>
        </w:rPr>
        <w:t> </w:t>
      </w:r>
      <w:r>
        <w:rPr>
          <w:position w:val="-7"/>
          <w:sz w:val="24"/>
        </w:rPr>
        <w:t>WMPs.</w:t>
      </w:r>
      <w:r>
        <w:rPr>
          <w:sz w:val="16"/>
        </w:rPr>
        <w:t>31323334353637</w:t>
      </w:r>
    </w:p>
    <w:p>
      <w:pPr>
        <w:pStyle w:val="ListParagraph"/>
        <w:numPr>
          <w:ilvl w:val="4"/>
          <w:numId w:val="32"/>
        </w:numPr>
        <w:tabs>
          <w:tab w:pos="1576" w:val="left" w:leader="none"/>
        </w:tabs>
        <w:spacing w:line="240" w:lineRule="auto" w:before="236" w:after="0"/>
        <w:ind w:left="1576" w:right="1027" w:hanging="1296"/>
        <w:jc w:val="left"/>
        <w:rPr>
          <w:sz w:val="16"/>
        </w:rPr>
      </w:pPr>
      <w:r>
        <w:rPr>
          <w:sz w:val="24"/>
          <w:u w:val="single"/>
        </w:rPr>
        <w:t>Compliance Option 2</w:t>
      </w:r>
      <w:r>
        <w:rPr>
          <w:sz w:val="24"/>
        </w:rPr>
        <w:t> requires Dischargers to implement capture and reuse and/or</w:t>
      </w:r>
      <w:r>
        <w:rPr>
          <w:spacing w:val="-5"/>
          <w:sz w:val="24"/>
        </w:rPr>
        <w:t> </w:t>
      </w:r>
      <w:r>
        <w:rPr>
          <w:sz w:val="24"/>
        </w:rPr>
        <w:t>infiltration</w:t>
      </w:r>
      <w:r>
        <w:rPr>
          <w:spacing w:val="-4"/>
          <w:sz w:val="24"/>
        </w:rPr>
        <w:t> </w:t>
      </w:r>
      <w:r>
        <w:rPr>
          <w:sz w:val="24"/>
        </w:rPr>
        <w:t>BMPs.</w:t>
      </w:r>
      <w:r>
        <w:rPr>
          <w:spacing w:val="-5"/>
          <w:sz w:val="24"/>
        </w:rPr>
        <w:t> </w:t>
      </w:r>
      <w:r>
        <w:rPr>
          <w:sz w:val="24"/>
        </w:rPr>
        <w:t>Capture</w:t>
      </w:r>
      <w:r>
        <w:rPr>
          <w:spacing w:val="-4"/>
          <w:sz w:val="24"/>
        </w:rPr>
        <w:t> </w:t>
      </w:r>
      <w:r>
        <w:rPr>
          <w:sz w:val="24"/>
        </w:rPr>
        <w:t>and</w:t>
      </w:r>
      <w:r>
        <w:rPr>
          <w:spacing w:val="-5"/>
          <w:sz w:val="24"/>
        </w:rPr>
        <w:t> </w:t>
      </w:r>
      <w:r>
        <w:rPr>
          <w:sz w:val="24"/>
        </w:rPr>
        <w:t>reuse</w:t>
      </w:r>
      <w:r>
        <w:rPr>
          <w:spacing w:val="-4"/>
          <w:sz w:val="24"/>
        </w:rPr>
        <w:t> </w:t>
      </w:r>
      <w:r>
        <w:rPr>
          <w:sz w:val="24"/>
        </w:rPr>
        <w:t>refer</w:t>
      </w:r>
      <w:r>
        <w:rPr>
          <w:spacing w:val="-4"/>
          <w:sz w:val="24"/>
        </w:rPr>
        <w:t> </w:t>
      </w:r>
      <w:r>
        <w:rPr>
          <w:sz w:val="24"/>
        </w:rPr>
        <w:t>to</w:t>
      </w:r>
      <w:r>
        <w:rPr>
          <w:spacing w:val="-5"/>
          <w:sz w:val="24"/>
        </w:rPr>
        <w:t> </w:t>
      </w:r>
      <w:r>
        <w:rPr>
          <w:sz w:val="24"/>
        </w:rPr>
        <w:t>the</w:t>
      </w:r>
      <w:r>
        <w:rPr>
          <w:spacing w:val="-5"/>
          <w:sz w:val="24"/>
        </w:rPr>
        <w:t> </w:t>
      </w:r>
      <w:r>
        <w:rPr>
          <w:sz w:val="24"/>
        </w:rPr>
        <w:t>practice</w:t>
      </w:r>
      <w:r>
        <w:rPr>
          <w:spacing w:val="-6"/>
          <w:sz w:val="24"/>
        </w:rPr>
        <w:t> </w:t>
      </w:r>
      <w:r>
        <w:rPr>
          <w:sz w:val="24"/>
        </w:rPr>
        <w:t>of</w:t>
      </w:r>
      <w:r>
        <w:rPr>
          <w:spacing w:val="-5"/>
          <w:sz w:val="24"/>
        </w:rPr>
        <w:t> </w:t>
      </w:r>
      <w:r>
        <w:rPr>
          <w:sz w:val="24"/>
        </w:rPr>
        <w:t>capturing stormwater runoff in a holding pond or vault and subsequent use of the captured volume for irrigation of landscape or other uses. Dischargers must then infiltrate or divert the stored stormwater to a wastewater treatment facility. Infiltration reduces stormwater discharge volume and pollutant loadings to surface waters and can recharge groundwater aquifers, offsetting potable water consumption. Pretreatment is necessary to limit the amount of gross pollutants passed into the system, which can be damaged by sediment and oil.</w:t>
      </w:r>
      <w:r>
        <w:rPr>
          <w:position w:val="8"/>
          <w:sz w:val="16"/>
        </w:rPr>
        <w:t>38 </w:t>
      </w:r>
      <w:r>
        <w:rPr>
          <w:sz w:val="24"/>
        </w:rPr>
        <w:t>The upfront and maintenance costs may vary from medium to high, considering the design storm standards applicable to a CII site’s</w:t>
      </w:r>
      <w:r>
        <w:rPr>
          <w:spacing w:val="-1"/>
          <w:sz w:val="24"/>
        </w:rPr>
        <w:t> </w:t>
      </w:r>
      <w:r>
        <w:rPr>
          <w:sz w:val="24"/>
        </w:rPr>
        <w:t>imperviousness.</w:t>
      </w:r>
      <w:r>
        <w:rPr>
          <w:position w:val="8"/>
          <w:sz w:val="16"/>
        </w:rPr>
        <w:t>39</w:t>
      </w:r>
    </w:p>
    <w:p>
      <w:pPr>
        <w:pStyle w:val="ListParagraph"/>
        <w:numPr>
          <w:ilvl w:val="4"/>
          <w:numId w:val="32"/>
        </w:numPr>
        <w:tabs>
          <w:tab w:pos="1576" w:val="left" w:leader="none"/>
        </w:tabs>
        <w:spacing w:line="240" w:lineRule="auto" w:before="229" w:after="0"/>
        <w:ind w:left="1575" w:right="1023" w:hanging="1296"/>
        <w:jc w:val="left"/>
        <w:rPr>
          <w:sz w:val="24"/>
        </w:rPr>
      </w:pPr>
      <w:r>
        <w:rPr>
          <w:sz w:val="24"/>
          <w:u w:val="single"/>
        </w:rPr>
        <w:t>Compliance Option 3</w:t>
      </w:r>
      <w:r>
        <w:rPr>
          <w:sz w:val="24"/>
        </w:rPr>
        <w:t> requires direct demonstration of compliance through visual observations, sampling, and analysis of discharges. The means of compliance would be similar to Compliance Option 2, with the addition of treatment and discharge. Thus, costs of compliance would also be similar</w:t>
      </w:r>
      <w:r>
        <w:rPr>
          <w:spacing w:val="-39"/>
          <w:sz w:val="24"/>
        </w:rPr>
        <w:t> </w:t>
      </w:r>
      <w:r>
        <w:rPr>
          <w:sz w:val="24"/>
        </w:rPr>
        <w:t>to</w:t>
      </w:r>
    </w:p>
    <w:p>
      <w:pPr>
        <w:pStyle w:val="BodyText"/>
        <w:spacing w:before="11"/>
        <w:rPr>
          <w:sz w:val="12"/>
        </w:rPr>
      </w:pPr>
      <w:r>
        <w:rPr/>
        <w:pict>
          <v:shape style="position:absolute;margin-left:72pt;margin-top:9.701821pt;width:144pt;height:.1pt;mso-position-horizontal-relative:page;mso-position-vertical-relative:paragraph;z-index:-251633664;mso-wrap-distance-left:0;mso-wrap-distance-right:0" coordorigin="1440,194" coordsize="2880,0" path="m1440,194l4320,194e" filled="false" stroked="true" strokeweight=".600010pt" strokecolor="#000000">
            <v:path arrowok="t"/>
            <v:stroke dashstyle="solid"/>
            <w10:wrap type="topAndBottom"/>
          </v:shape>
        </w:pict>
      </w:r>
    </w:p>
    <w:p>
      <w:pPr>
        <w:pStyle w:val="BodyText"/>
        <w:rPr>
          <w:sz w:val="20"/>
        </w:rPr>
      </w:pPr>
    </w:p>
    <w:p>
      <w:pPr>
        <w:pStyle w:val="BodyText"/>
        <w:spacing w:before="6"/>
        <w:rPr>
          <w:sz w:val="22"/>
        </w:rPr>
      </w:pPr>
    </w:p>
    <w:p>
      <w:pPr>
        <w:spacing w:before="95"/>
        <w:ind w:left="280" w:right="1035" w:firstLine="0"/>
        <w:jc w:val="left"/>
        <w:rPr>
          <w:sz w:val="20"/>
        </w:rPr>
      </w:pPr>
      <w:r>
        <w:rPr>
          <w:position w:val="7"/>
          <w:sz w:val="13"/>
        </w:rPr>
        <w:t>30 </w:t>
      </w:r>
      <w:r>
        <w:rPr>
          <w:color w:val="0000FF"/>
          <w:sz w:val="20"/>
          <w:u w:val="single" w:color="0000FF"/>
        </w:rPr>
        <w:t>U.S. EPA. Urban Runoff: Model Ordinances to Prevent and Control Nonpoint Source Pollution.</w:t>
      </w:r>
      <w:r>
        <w:rPr>
          <w:color w:val="0000FF"/>
          <w:sz w:val="20"/>
        </w:rPr>
        <w:t> </w:t>
      </w:r>
      <w:r>
        <w:rPr>
          <w:sz w:val="20"/>
        </w:rPr>
        <w:t>(accessed December 30, 2022)</w:t>
      </w:r>
    </w:p>
    <w:p>
      <w:pPr>
        <w:spacing w:line="228" w:lineRule="exact" w:before="0"/>
        <w:ind w:left="280" w:right="0" w:firstLine="0"/>
        <w:jc w:val="left"/>
        <w:rPr>
          <w:sz w:val="20"/>
        </w:rPr>
      </w:pPr>
      <w:r>
        <w:rPr>
          <w:position w:val="7"/>
          <w:sz w:val="13"/>
        </w:rPr>
        <w:t>31 </w:t>
      </w:r>
      <w:r>
        <w:rPr>
          <w:sz w:val="20"/>
        </w:rPr>
        <w:t>LARWQCB Regional Phase I MS4 Permit (Order No. R4-2021-0105).</w:t>
      </w:r>
    </w:p>
    <w:p>
      <w:pPr>
        <w:spacing w:before="0"/>
        <w:ind w:left="280" w:right="1035" w:hanging="1"/>
        <w:jc w:val="left"/>
        <w:rPr>
          <w:sz w:val="20"/>
        </w:rPr>
      </w:pPr>
      <w:r>
        <w:rPr>
          <w:position w:val="7"/>
          <w:sz w:val="13"/>
        </w:rPr>
        <w:t>32 </w:t>
      </w:r>
      <w:r>
        <w:rPr>
          <w:sz w:val="20"/>
        </w:rPr>
        <w:t>Dominguez Channel Watershed Management Group. Revised Enhanced Watershed Management Program. February 2016, section 4.</w:t>
      </w:r>
    </w:p>
    <w:p>
      <w:pPr>
        <w:spacing w:line="240" w:lineRule="auto" w:before="0"/>
        <w:ind w:left="279" w:right="1286" w:firstLine="0"/>
        <w:jc w:val="left"/>
        <w:rPr>
          <w:sz w:val="20"/>
        </w:rPr>
      </w:pPr>
      <w:r>
        <w:rPr>
          <w:position w:val="7"/>
          <w:sz w:val="13"/>
        </w:rPr>
        <w:t>33 </w:t>
      </w:r>
      <w:r>
        <w:rPr>
          <w:sz w:val="20"/>
        </w:rPr>
        <w:t>Beach Cities Watershed Management Group. Revised Enhanced Watershed Management Program. March 2018, section 6.</w:t>
      </w:r>
    </w:p>
    <w:p>
      <w:pPr>
        <w:spacing w:line="228" w:lineRule="exact" w:before="0"/>
        <w:ind w:left="280" w:right="0" w:firstLine="0"/>
        <w:jc w:val="left"/>
        <w:rPr>
          <w:sz w:val="20"/>
        </w:rPr>
      </w:pPr>
      <w:r>
        <w:rPr>
          <w:position w:val="7"/>
          <w:sz w:val="13"/>
        </w:rPr>
        <w:t>34 </w:t>
      </w:r>
      <w:r>
        <w:rPr>
          <w:sz w:val="20"/>
        </w:rPr>
        <w:t>City of Torrance. Final Machado Lake Subwatershed Supplement. October 2016, section 7.</w:t>
      </w:r>
    </w:p>
    <w:p>
      <w:pPr>
        <w:spacing w:before="0"/>
        <w:ind w:left="279" w:right="1035" w:firstLine="0"/>
        <w:jc w:val="left"/>
        <w:rPr>
          <w:sz w:val="20"/>
        </w:rPr>
      </w:pPr>
      <w:r>
        <w:rPr>
          <w:position w:val="7"/>
          <w:sz w:val="13"/>
        </w:rPr>
        <w:t>35 </w:t>
      </w:r>
      <w:r>
        <w:rPr>
          <w:sz w:val="20"/>
        </w:rPr>
        <w:t>Alamitos Bay/Los Cerritos Channel Watershed Management Group. Final Watershed Management Program. May 28, 2015, section 6.</w:t>
      </w:r>
    </w:p>
    <w:p>
      <w:pPr>
        <w:spacing w:line="240" w:lineRule="auto" w:before="0"/>
        <w:ind w:left="279" w:right="1231" w:firstLine="0"/>
        <w:jc w:val="left"/>
        <w:rPr>
          <w:sz w:val="20"/>
        </w:rPr>
      </w:pPr>
      <w:r>
        <w:rPr>
          <w:position w:val="7"/>
          <w:sz w:val="13"/>
        </w:rPr>
        <w:t>36 </w:t>
      </w:r>
      <w:r>
        <w:rPr>
          <w:sz w:val="20"/>
        </w:rPr>
        <w:t>Los Cerritos Channel Watershed Management Group. Watershed Management Program. September 21, 2017, section 4.</w:t>
      </w:r>
    </w:p>
    <w:p>
      <w:pPr>
        <w:spacing w:line="240" w:lineRule="auto" w:before="0"/>
        <w:ind w:left="279" w:right="1035" w:firstLine="0"/>
        <w:jc w:val="left"/>
        <w:rPr>
          <w:sz w:val="20"/>
        </w:rPr>
      </w:pPr>
      <w:r>
        <w:rPr>
          <w:position w:val="7"/>
          <w:sz w:val="13"/>
        </w:rPr>
        <w:t>37 </w:t>
      </w:r>
      <w:r>
        <w:rPr>
          <w:sz w:val="20"/>
        </w:rPr>
        <w:t>Long Beach Nearshore Watershed Management Group. Final Watershed Management Program. January 22, 2016, section 3.</w:t>
      </w:r>
    </w:p>
    <w:p>
      <w:pPr>
        <w:spacing w:line="240" w:lineRule="auto" w:before="0"/>
        <w:ind w:left="279" w:right="1172" w:firstLine="0"/>
        <w:jc w:val="left"/>
        <w:rPr>
          <w:sz w:val="20"/>
        </w:rPr>
      </w:pPr>
      <w:r>
        <w:rPr>
          <w:position w:val="7"/>
          <w:sz w:val="13"/>
        </w:rPr>
        <w:t>38 </w:t>
      </w:r>
      <w:r>
        <w:rPr>
          <w:sz w:val="20"/>
        </w:rPr>
        <w:t>CASQA Industrial and Commercial BMP Handbook, TC-10 Infiltration Trench, TC-11 Infiltration Basin, TC-12 Harvest and Reuse.</w:t>
      </w:r>
    </w:p>
    <w:p>
      <w:pPr>
        <w:spacing w:line="240" w:lineRule="auto" w:before="0"/>
        <w:ind w:left="280" w:right="1035" w:hanging="1"/>
        <w:jc w:val="left"/>
        <w:rPr>
          <w:sz w:val="20"/>
        </w:rPr>
      </w:pPr>
      <w:r>
        <w:rPr>
          <w:position w:val="7"/>
          <w:sz w:val="13"/>
        </w:rPr>
        <w:t>39 </w:t>
      </w:r>
      <w:r>
        <w:rPr>
          <w:sz w:val="20"/>
        </w:rPr>
        <w:t>U.S. DOT BMP Selection and Monitoring, section 6.5 Table 57; U.S. EPA BMP Cost Estimation Memorandum, page 8.</w:t>
      </w:r>
    </w:p>
    <w:p>
      <w:pPr>
        <w:spacing w:after="0" w:line="240" w:lineRule="auto"/>
        <w:jc w:val="left"/>
        <w:rPr>
          <w:sz w:val="20"/>
        </w:rPr>
        <w:sectPr>
          <w:pgSz w:w="12240" w:h="15840"/>
          <w:pgMar w:header="728" w:footer="788" w:top="1540" w:bottom="980" w:left="1160" w:right="420"/>
        </w:sectPr>
      </w:pPr>
    </w:p>
    <w:p>
      <w:pPr>
        <w:pStyle w:val="BodyText"/>
        <w:spacing w:before="11"/>
        <w:rPr>
          <w:sz w:val="15"/>
        </w:rPr>
      </w:pPr>
    </w:p>
    <w:p>
      <w:pPr>
        <w:pStyle w:val="BodyText"/>
        <w:spacing w:before="92"/>
        <w:ind w:left="1576" w:right="1459"/>
      </w:pPr>
      <w:r>
        <w:rPr/>
        <w:t>Compliance Option 2. A discussion of BMPs that could be used under Compliance Option 2 and/or Compliance Option 3 are discussed below.</w:t>
      </w:r>
    </w:p>
    <w:p>
      <w:pPr>
        <w:pStyle w:val="BodyText"/>
        <w:spacing w:before="5"/>
        <w:rPr>
          <w:sz w:val="20"/>
        </w:rPr>
      </w:pPr>
    </w:p>
    <w:p>
      <w:pPr>
        <w:pStyle w:val="ListParagraph"/>
        <w:numPr>
          <w:ilvl w:val="5"/>
          <w:numId w:val="32"/>
        </w:numPr>
        <w:tabs>
          <w:tab w:pos="1791" w:val="left" w:leader="none"/>
        </w:tabs>
        <w:spacing w:line="240" w:lineRule="auto" w:before="0" w:after="0"/>
        <w:ind w:left="1792" w:right="1261" w:hanging="1512"/>
        <w:jc w:val="left"/>
        <w:rPr>
          <w:sz w:val="16"/>
        </w:rPr>
      </w:pPr>
      <w:r>
        <w:rPr>
          <w:sz w:val="24"/>
        </w:rPr>
        <w:t>Infiltration BMPs</w:t>
      </w:r>
      <w:r>
        <w:rPr>
          <w:position w:val="8"/>
          <w:sz w:val="16"/>
        </w:rPr>
        <w:t>40 </w:t>
      </w:r>
      <w:r>
        <w:rPr>
          <w:sz w:val="24"/>
        </w:rPr>
        <w:t>are trenches or basins that store stormwater in the void space between media (e.g., rock, stones, soil) and slowly exfiltrate stormwater through the bottom and sides into the ground. Infiltration reduces stormwater discharge volume and pollutant loadings to surface waters and can recharge groundwater aquifers, offsetting potable water consumption. Pretreatment is necessary to limit the amount of gross pollutants passed into the system, which can be damaged by sediment and oil. Infiltration can significantly reduce all pollutant concentrations in this Order. Fate and transport of all pollutants to groundwater should be evaluated for potential impact to drinking water beneficial uses.</w:t>
      </w:r>
      <w:r>
        <w:rPr>
          <w:position w:val="8"/>
          <w:sz w:val="16"/>
        </w:rPr>
        <w:t>41 </w:t>
      </w:r>
      <w:r>
        <w:rPr>
          <w:sz w:val="24"/>
        </w:rPr>
        <w:t>The upfront and maintenance costs may vary from medium to high, considering the design storm standards applicable to a CII site’s imperviousness.</w:t>
      </w:r>
      <w:r>
        <w:rPr>
          <w:position w:val="8"/>
          <w:sz w:val="16"/>
        </w:rPr>
        <w:t>42</w:t>
      </w:r>
    </w:p>
    <w:p>
      <w:pPr>
        <w:pStyle w:val="ListParagraph"/>
        <w:numPr>
          <w:ilvl w:val="5"/>
          <w:numId w:val="32"/>
        </w:numPr>
        <w:tabs>
          <w:tab w:pos="1790" w:val="left" w:leader="none"/>
        </w:tabs>
        <w:spacing w:line="237" w:lineRule="auto" w:before="233" w:after="0"/>
        <w:ind w:left="1791" w:right="1034" w:hanging="1512"/>
        <w:jc w:val="left"/>
        <w:rPr>
          <w:sz w:val="16"/>
        </w:rPr>
      </w:pPr>
      <w:r>
        <w:rPr>
          <w:sz w:val="24"/>
        </w:rPr>
        <w:t>Detention BMPs (Dry extended detention ponds, dry ponds, extended detention basins, detention ponds, extended detention ponds) are basins that incorporate a specific stormwater draw down time (e.g. 24, 48, or 72 hours).</w:t>
      </w:r>
      <w:r>
        <w:rPr>
          <w:position w:val="8"/>
          <w:sz w:val="16"/>
        </w:rPr>
        <w:t>43 </w:t>
      </w:r>
      <w:r>
        <w:rPr>
          <w:sz w:val="24"/>
        </w:rPr>
        <w:t>Stormwater runoff is detained for some minimum time (e.g., 48 hours) to allow particles and associated pollutants to settle before filtration and treatment. Temporary wet pools may form, dependent on the infiltration rate of the subsoil. Detention can significantly reduce most pollutant concentrations in this Order, except for highly soluble pollutants like salts and some metals.</w:t>
      </w:r>
      <w:r>
        <w:rPr>
          <w:position w:val="8"/>
          <w:sz w:val="16"/>
        </w:rPr>
        <w:t>44 </w:t>
      </w:r>
      <w:r>
        <w:rPr>
          <w:sz w:val="24"/>
        </w:rPr>
        <w:t>Upfront costs vary with the design storm standards applicable to a CII site’s imperviousness but are generally medium. Maintenance costs are generally</w:t>
      </w:r>
      <w:r>
        <w:rPr>
          <w:spacing w:val="-4"/>
          <w:sz w:val="24"/>
        </w:rPr>
        <w:t> </w:t>
      </w:r>
      <w:r>
        <w:rPr>
          <w:sz w:val="24"/>
        </w:rPr>
        <w:t>low.</w:t>
      </w:r>
      <w:r>
        <w:rPr>
          <w:position w:val="8"/>
          <w:sz w:val="16"/>
        </w:rPr>
        <w:t>45</w:t>
      </w:r>
    </w:p>
    <w:p>
      <w:pPr>
        <w:pStyle w:val="BodyText"/>
        <w:spacing w:before="11"/>
        <w:rPr>
          <w:sz w:val="21"/>
        </w:rPr>
      </w:pPr>
    </w:p>
    <w:p>
      <w:pPr>
        <w:pStyle w:val="ListParagraph"/>
        <w:numPr>
          <w:ilvl w:val="5"/>
          <w:numId w:val="32"/>
        </w:numPr>
        <w:tabs>
          <w:tab w:pos="1792" w:val="left" w:leader="none"/>
        </w:tabs>
        <w:spacing w:line="240" w:lineRule="auto" w:before="0" w:after="0"/>
        <w:ind w:left="1791" w:right="1213" w:hanging="1512"/>
        <w:jc w:val="left"/>
        <w:rPr>
          <w:sz w:val="24"/>
        </w:rPr>
      </w:pPr>
      <w:r>
        <w:rPr>
          <w:sz w:val="24"/>
        </w:rPr>
        <w:t>Filtration BMPs include either active or passive processes. In passive processes, gravity pulls stormwater down through treatment media. In active processes, stormwater flows through media via a mechanized system, such as a pump. Treatment media is usually a proprietary</w:t>
      </w:r>
      <w:r>
        <w:rPr>
          <w:spacing w:val="-32"/>
          <w:sz w:val="24"/>
        </w:rPr>
        <w:t> </w:t>
      </w:r>
      <w:r>
        <w:rPr>
          <w:sz w:val="24"/>
        </w:rPr>
        <w:t>blend containing flocculants, coagulants, carbon, sand, organics. Active systems are chambered and may include pretreatment features</w:t>
      </w:r>
      <w:r>
        <w:rPr>
          <w:spacing w:val="-15"/>
          <w:sz w:val="24"/>
        </w:rPr>
        <w:t> </w:t>
      </w:r>
      <w:r>
        <w:rPr>
          <w:sz w:val="24"/>
        </w:rPr>
        <w:t>to</w:t>
      </w:r>
    </w:p>
    <w:p>
      <w:pPr>
        <w:pStyle w:val="BodyText"/>
        <w:spacing w:before="11"/>
      </w:pPr>
      <w:r>
        <w:rPr/>
        <w:pict>
          <v:shape style="position:absolute;margin-left:72pt;margin-top:16.606861pt;width:144pt;height:.1pt;mso-position-horizontal-relative:page;mso-position-vertical-relative:paragraph;z-index:-251632640;mso-wrap-distance-left:0;mso-wrap-distance-right:0" coordorigin="1440,332" coordsize="2880,0" path="m1440,332l4320,332e" filled="false" stroked="true" strokeweight=".59999pt" strokecolor="#000000">
            <v:path arrowok="t"/>
            <v:stroke dashstyle="solid"/>
            <w10:wrap type="topAndBottom"/>
          </v:shape>
        </w:pict>
      </w:r>
    </w:p>
    <w:p>
      <w:pPr>
        <w:pStyle w:val="BodyText"/>
        <w:rPr>
          <w:sz w:val="20"/>
        </w:rPr>
      </w:pPr>
    </w:p>
    <w:p>
      <w:pPr>
        <w:pStyle w:val="BodyText"/>
        <w:spacing w:before="6"/>
        <w:rPr>
          <w:sz w:val="22"/>
        </w:rPr>
      </w:pPr>
    </w:p>
    <w:p>
      <w:pPr>
        <w:spacing w:before="95"/>
        <w:ind w:left="280" w:right="1035" w:hanging="1"/>
        <w:jc w:val="left"/>
        <w:rPr>
          <w:sz w:val="20"/>
        </w:rPr>
      </w:pPr>
      <w:r>
        <w:rPr>
          <w:position w:val="7"/>
          <w:sz w:val="13"/>
        </w:rPr>
        <w:t>40 </w:t>
      </w:r>
      <w:r>
        <w:rPr>
          <w:sz w:val="20"/>
        </w:rPr>
        <w:t>CASQA Industrial and Commercial BMP Handbook, TC-10 Infiltration Trench and TC-11 Infiltration Basin.</w:t>
      </w:r>
    </w:p>
    <w:p>
      <w:pPr>
        <w:spacing w:line="237" w:lineRule="auto" w:before="0"/>
        <w:ind w:left="280" w:right="1152" w:firstLine="0"/>
        <w:jc w:val="left"/>
        <w:rPr>
          <w:sz w:val="20"/>
        </w:rPr>
      </w:pPr>
      <w:r>
        <w:rPr>
          <w:position w:val="7"/>
          <w:sz w:val="13"/>
        </w:rPr>
        <w:t>41 </w:t>
      </w:r>
      <w:r>
        <w:rPr>
          <w:sz w:val="20"/>
        </w:rPr>
        <w:t>WERF International Stormwater BMP Database 2020 Summary Report, sections 2.4, 3.6, 4.6,5.5, 6.1. </w:t>
      </w:r>
      <w:r>
        <w:rPr>
          <w:position w:val="7"/>
          <w:sz w:val="13"/>
        </w:rPr>
        <w:t>42 </w:t>
      </w:r>
      <w:r>
        <w:rPr>
          <w:sz w:val="20"/>
        </w:rPr>
        <w:t>U.S. DOT BMP Selection and Monitoring, section 6.5 Table 57; U.S. EPA BMP Cost Estimation Memorandum, page 8.</w:t>
      </w:r>
    </w:p>
    <w:p>
      <w:pPr>
        <w:spacing w:line="229" w:lineRule="exact" w:before="0"/>
        <w:ind w:left="280" w:right="0" w:firstLine="0"/>
        <w:jc w:val="left"/>
        <w:rPr>
          <w:sz w:val="20"/>
        </w:rPr>
      </w:pPr>
      <w:r>
        <w:rPr>
          <w:position w:val="7"/>
          <w:sz w:val="13"/>
        </w:rPr>
        <w:t>43 </w:t>
      </w:r>
      <w:r>
        <w:rPr>
          <w:sz w:val="20"/>
        </w:rPr>
        <w:t>CASQA Industrial and Commercial BMP Handbook, TC-22 Extended Detention Basins.</w:t>
      </w:r>
    </w:p>
    <w:p>
      <w:pPr>
        <w:spacing w:line="237" w:lineRule="auto" w:before="0"/>
        <w:ind w:left="280" w:right="1252" w:firstLine="0"/>
        <w:jc w:val="left"/>
        <w:rPr>
          <w:sz w:val="20"/>
        </w:rPr>
      </w:pPr>
      <w:r>
        <w:rPr>
          <w:position w:val="7"/>
          <w:sz w:val="13"/>
        </w:rPr>
        <w:t>44 </w:t>
      </w:r>
      <w:r>
        <w:rPr>
          <w:sz w:val="20"/>
        </w:rPr>
        <w:t>WERF International Stormwater BMP Database 2020 Summary Report, section 2.4, 3.6, 4.6,5.5, 6.1. </w:t>
      </w:r>
      <w:r>
        <w:rPr>
          <w:position w:val="7"/>
          <w:sz w:val="13"/>
        </w:rPr>
        <w:t>45 </w:t>
      </w:r>
      <w:r>
        <w:rPr>
          <w:sz w:val="20"/>
        </w:rPr>
        <w:t>U.S. DOT BMP Selection and Monitoring, section 6.5 Table 57; U.S. EPA BMP Cost Estimation Memorandum, page 8.</w:t>
      </w:r>
    </w:p>
    <w:p>
      <w:pPr>
        <w:spacing w:after="0" w:line="237" w:lineRule="auto"/>
        <w:jc w:val="left"/>
        <w:rPr>
          <w:sz w:val="20"/>
        </w:rPr>
        <w:sectPr>
          <w:pgSz w:w="12240" w:h="15840"/>
          <w:pgMar w:header="728" w:footer="788" w:top="1540" w:bottom="980" w:left="1160" w:right="420"/>
        </w:sectPr>
      </w:pPr>
    </w:p>
    <w:p>
      <w:pPr>
        <w:pStyle w:val="BodyText"/>
        <w:spacing w:before="3"/>
        <w:rPr>
          <w:sz w:val="15"/>
        </w:rPr>
      </w:pPr>
    </w:p>
    <w:p>
      <w:pPr>
        <w:pStyle w:val="BodyText"/>
        <w:spacing w:line="237" w:lineRule="auto" w:before="98"/>
        <w:ind w:left="1791" w:right="1122"/>
        <w:rPr>
          <w:sz w:val="16"/>
        </w:rPr>
      </w:pPr>
      <w:r>
        <w:rPr/>
        <w:t>enhance the treatment process.</w:t>
      </w:r>
      <w:r>
        <w:rPr>
          <w:position w:val="8"/>
          <w:sz w:val="16"/>
        </w:rPr>
        <w:t>46 </w:t>
      </w:r>
      <w:r>
        <w:rPr/>
        <w:t>Media filtration can significantly reduce solid particles, fecal indicator bacteria, and phosphorus.</w:t>
      </w:r>
      <w:r>
        <w:rPr>
          <w:position w:val="8"/>
          <w:sz w:val="16"/>
        </w:rPr>
        <w:t>47 </w:t>
      </w:r>
      <w:r>
        <w:rPr/>
        <w:t>Cumulative cost varies with the number of unique pollutants treated and system sizing and design but can be mitigated by reducing stormwater source volume. Upfront and maintenance costs are generally medium to high, dependent on whether passive or active processes are incorporated in the system design.</w:t>
      </w:r>
      <w:r>
        <w:rPr>
          <w:position w:val="8"/>
          <w:sz w:val="16"/>
        </w:rPr>
        <w:t>48</w:t>
      </w:r>
    </w:p>
    <w:p>
      <w:pPr>
        <w:pStyle w:val="ListParagraph"/>
        <w:numPr>
          <w:ilvl w:val="5"/>
          <w:numId w:val="32"/>
        </w:numPr>
        <w:tabs>
          <w:tab w:pos="1791" w:val="left" w:leader="none"/>
        </w:tabs>
        <w:spacing w:line="237" w:lineRule="auto" w:before="249" w:after="0"/>
        <w:ind w:left="1791" w:right="1072" w:hanging="1512"/>
        <w:jc w:val="left"/>
        <w:rPr>
          <w:sz w:val="16"/>
        </w:rPr>
      </w:pPr>
      <w:r>
        <w:rPr>
          <w:sz w:val="24"/>
        </w:rPr>
        <w:t>Bioretention or biofiltration BMPs are shallow vegetated basins with a variety of plants and filtration media that are specifically chosen to reduce runoff velocity and remove pollutants over time.</w:t>
      </w:r>
      <w:r>
        <w:rPr>
          <w:position w:val="8"/>
          <w:sz w:val="16"/>
        </w:rPr>
        <w:t>49 </w:t>
      </w:r>
      <w:r>
        <w:rPr>
          <w:sz w:val="24"/>
        </w:rPr>
        <w:t>Bioretention can significantly reduce all pollutant concentrations in this Order except for nutrients like phosphorus or nitrogen. Bioretention is one of the most effective BMPs for pollutants like solid particles and fecal indicator bacteria.</w:t>
      </w:r>
      <w:r>
        <w:rPr>
          <w:position w:val="8"/>
          <w:sz w:val="16"/>
        </w:rPr>
        <w:t>50 </w:t>
      </w:r>
      <w:r>
        <w:rPr>
          <w:sz w:val="24"/>
        </w:rPr>
        <w:t>Upfront costs are generally medium, and maintenance costs are generally</w:t>
      </w:r>
      <w:r>
        <w:rPr>
          <w:spacing w:val="-1"/>
          <w:sz w:val="24"/>
        </w:rPr>
        <w:t> </w:t>
      </w:r>
      <w:r>
        <w:rPr>
          <w:sz w:val="24"/>
        </w:rPr>
        <w:t>low.</w:t>
      </w:r>
      <w:r>
        <w:rPr>
          <w:position w:val="8"/>
          <w:sz w:val="16"/>
        </w:rPr>
        <w:t>51</w:t>
      </w:r>
    </w:p>
    <w:p>
      <w:pPr>
        <w:pStyle w:val="ListParagraph"/>
        <w:numPr>
          <w:ilvl w:val="5"/>
          <w:numId w:val="32"/>
        </w:numPr>
        <w:tabs>
          <w:tab w:pos="1790" w:val="left" w:leader="none"/>
        </w:tabs>
        <w:spacing w:line="237" w:lineRule="auto" w:before="247" w:after="0"/>
        <w:ind w:left="1791" w:right="1043" w:hanging="1512"/>
        <w:jc w:val="left"/>
        <w:rPr>
          <w:sz w:val="16"/>
        </w:rPr>
      </w:pPr>
      <w:r>
        <w:rPr>
          <w:sz w:val="24"/>
        </w:rPr>
        <w:t>Vegetated Swale BMPs are natural or manmade open and shallow channels with vegetation covering the side slopes and bottom that collect and slowly convey runoff flow to downstream discharge points. Vegetated swale BMPs slow down stormwater runoff and provide treatment through vegetative filtration into underlying soil matrices.</w:t>
      </w:r>
      <w:r>
        <w:rPr>
          <w:position w:val="8"/>
          <w:sz w:val="16"/>
        </w:rPr>
        <w:t>52 </w:t>
      </w:r>
      <w:r>
        <w:rPr>
          <w:sz w:val="24"/>
        </w:rPr>
        <w:t>Vegetated swale BMPs can significantly reduce all pollutant concentrations in this Order except for phosphorus.</w:t>
      </w:r>
      <w:r>
        <w:rPr>
          <w:position w:val="8"/>
          <w:sz w:val="16"/>
        </w:rPr>
        <w:t>53 </w:t>
      </w:r>
      <w:r>
        <w:rPr>
          <w:sz w:val="24"/>
        </w:rPr>
        <w:t>Upfront costs can range from low to medium, and maintenance costs are generally</w:t>
      </w:r>
      <w:r>
        <w:rPr>
          <w:spacing w:val="-1"/>
          <w:sz w:val="24"/>
        </w:rPr>
        <w:t> </w:t>
      </w:r>
      <w:r>
        <w:rPr>
          <w:sz w:val="24"/>
        </w:rPr>
        <w:t>low.</w:t>
      </w:r>
      <w:r>
        <w:rPr>
          <w:position w:val="8"/>
          <w:sz w:val="16"/>
        </w:rPr>
        <w:t>54</w:t>
      </w:r>
    </w:p>
    <w:p>
      <w:pPr>
        <w:pStyle w:val="ListParagraph"/>
        <w:numPr>
          <w:ilvl w:val="5"/>
          <w:numId w:val="32"/>
        </w:numPr>
        <w:tabs>
          <w:tab w:pos="1791" w:val="left" w:leader="none"/>
        </w:tabs>
        <w:spacing w:line="240" w:lineRule="auto" w:before="244" w:after="0"/>
        <w:ind w:left="1792" w:right="1101" w:hanging="1512"/>
        <w:jc w:val="left"/>
        <w:rPr>
          <w:sz w:val="24"/>
        </w:rPr>
      </w:pPr>
      <w:r>
        <w:rPr>
          <w:sz w:val="24"/>
        </w:rPr>
        <w:t>Wetland BMPs are constructed basins with a permanent pool of water for most of the year, with vegetated pools that store stormwater. Saturated soils are selected to provide the necessary depth, frequency, and duration of inundation in order to support wetland vegetation. Pollutant removal is achieved through microbial transformation, plant uptake, settling, and adsorption. Constructed wetlands are among the most effective stormwater practices in terms of pollutant removal and they</w:t>
      </w:r>
      <w:r>
        <w:rPr>
          <w:spacing w:val="-46"/>
          <w:sz w:val="24"/>
        </w:rPr>
        <w:t> </w:t>
      </w:r>
      <w:r>
        <w:rPr>
          <w:sz w:val="24"/>
        </w:rPr>
        <w:t>also</w:t>
      </w:r>
    </w:p>
    <w:p>
      <w:pPr>
        <w:pStyle w:val="BodyText"/>
        <w:rPr>
          <w:sz w:val="13"/>
        </w:rPr>
      </w:pPr>
      <w:r>
        <w:rPr/>
        <w:pict>
          <v:shape style="position:absolute;margin-left:72pt;margin-top:9.739234pt;width:144pt;height:.1pt;mso-position-horizontal-relative:page;mso-position-vertical-relative:paragraph;z-index:-251631616;mso-wrap-distance-left:0;mso-wrap-distance-right:0" coordorigin="1440,195" coordsize="2880,0" path="m1440,195l4320,195e" filled="false" stroked="true" strokeweight=".59999pt" strokecolor="#000000">
            <v:path arrowok="t"/>
            <v:stroke dashstyle="solid"/>
            <w10:wrap type="topAndBottom"/>
          </v:shape>
        </w:pict>
      </w:r>
    </w:p>
    <w:p>
      <w:pPr>
        <w:pStyle w:val="BodyText"/>
        <w:rPr>
          <w:sz w:val="20"/>
        </w:rPr>
      </w:pPr>
    </w:p>
    <w:p>
      <w:pPr>
        <w:pStyle w:val="BodyText"/>
        <w:spacing w:before="6"/>
        <w:rPr>
          <w:sz w:val="22"/>
        </w:rPr>
      </w:pPr>
    </w:p>
    <w:p>
      <w:pPr>
        <w:spacing w:line="232" w:lineRule="exact" w:before="95"/>
        <w:ind w:left="280" w:right="0" w:firstLine="0"/>
        <w:jc w:val="left"/>
        <w:rPr>
          <w:sz w:val="20"/>
        </w:rPr>
      </w:pPr>
      <w:r>
        <w:rPr>
          <w:position w:val="7"/>
          <w:sz w:val="13"/>
        </w:rPr>
        <w:t>46 </w:t>
      </w:r>
      <w:r>
        <w:rPr>
          <w:sz w:val="20"/>
        </w:rPr>
        <w:t>CASQA Industrial and Commercial BMP Handbook, TC-40 Media Filter.</w:t>
      </w:r>
    </w:p>
    <w:p>
      <w:pPr>
        <w:spacing w:line="237" w:lineRule="auto" w:before="0"/>
        <w:ind w:left="280" w:right="1252" w:firstLine="0"/>
        <w:jc w:val="left"/>
        <w:rPr>
          <w:sz w:val="20"/>
        </w:rPr>
      </w:pPr>
      <w:r>
        <w:rPr>
          <w:position w:val="7"/>
          <w:sz w:val="13"/>
        </w:rPr>
        <w:t>47 </w:t>
      </w:r>
      <w:r>
        <w:rPr>
          <w:sz w:val="20"/>
        </w:rPr>
        <w:t>WERF International Stormwater BMP Database 2020 Summary Report, section 2.4, 3.6, 4.6,5.5, 6.1. </w:t>
      </w:r>
      <w:r>
        <w:rPr>
          <w:position w:val="7"/>
          <w:sz w:val="13"/>
        </w:rPr>
        <w:t>48 </w:t>
      </w:r>
      <w:r>
        <w:rPr>
          <w:sz w:val="20"/>
        </w:rPr>
        <w:t>U.S. DOT BMP Selection and Monitoring, section 6.5 Table 57; U.S. EPA BMP Cost Estimation Memorandum, page 8.</w:t>
      </w:r>
    </w:p>
    <w:p>
      <w:pPr>
        <w:spacing w:line="229" w:lineRule="exact" w:before="0"/>
        <w:ind w:left="280" w:right="0" w:firstLine="0"/>
        <w:jc w:val="left"/>
        <w:rPr>
          <w:sz w:val="20"/>
        </w:rPr>
      </w:pPr>
      <w:r>
        <w:rPr>
          <w:position w:val="7"/>
          <w:sz w:val="13"/>
        </w:rPr>
        <w:t>49 </w:t>
      </w:r>
      <w:r>
        <w:rPr>
          <w:sz w:val="20"/>
        </w:rPr>
        <w:t>CASQA Industrial and Commercial BMP Handbook, TC-32 Bioretention.</w:t>
      </w:r>
    </w:p>
    <w:p>
      <w:pPr>
        <w:spacing w:line="237" w:lineRule="auto" w:before="0"/>
        <w:ind w:left="280" w:right="1252" w:firstLine="0"/>
        <w:jc w:val="left"/>
        <w:rPr>
          <w:sz w:val="20"/>
        </w:rPr>
      </w:pPr>
      <w:r>
        <w:rPr>
          <w:position w:val="7"/>
          <w:sz w:val="13"/>
        </w:rPr>
        <w:t>50 </w:t>
      </w:r>
      <w:r>
        <w:rPr>
          <w:sz w:val="20"/>
        </w:rPr>
        <w:t>WERF International Stormwater BMP Database 2020 Summary Report, section 2.4, 3.6, 4.6,5.5, 6.1. </w:t>
      </w:r>
      <w:r>
        <w:rPr>
          <w:position w:val="7"/>
          <w:sz w:val="13"/>
        </w:rPr>
        <w:t>51 </w:t>
      </w:r>
      <w:r>
        <w:rPr>
          <w:sz w:val="20"/>
        </w:rPr>
        <w:t>U.S. DOT BMP Selection and Monitoring, section 6.5 Table 57; U.S. EPA BMP Cost Estimation Memorandum, page 8.</w:t>
      </w:r>
    </w:p>
    <w:p>
      <w:pPr>
        <w:spacing w:line="229" w:lineRule="exact" w:before="0"/>
        <w:ind w:left="280" w:right="0" w:firstLine="0"/>
        <w:jc w:val="left"/>
        <w:rPr>
          <w:sz w:val="20"/>
        </w:rPr>
      </w:pPr>
      <w:r>
        <w:rPr>
          <w:position w:val="7"/>
          <w:sz w:val="13"/>
        </w:rPr>
        <w:t>52 </w:t>
      </w:r>
      <w:r>
        <w:rPr>
          <w:sz w:val="20"/>
        </w:rPr>
        <w:t>CASQA Industrial and Commercial BMP Handbook, TC-30 Vegetated Swale.</w:t>
      </w:r>
    </w:p>
    <w:p>
      <w:pPr>
        <w:spacing w:line="237" w:lineRule="auto" w:before="0"/>
        <w:ind w:left="280" w:right="1152" w:firstLine="0"/>
        <w:jc w:val="left"/>
        <w:rPr>
          <w:sz w:val="20"/>
        </w:rPr>
      </w:pPr>
      <w:r>
        <w:rPr>
          <w:position w:val="7"/>
          <w:sz w:val="13"/>
        </w:rPr>
        <w:t>53 </w:t>
      </w:r>
      <w:r>
        <w:rPr>
          <w:sz w:val="20"/>
        </w:rPr>
        <w:t>WERF International Stormwater BMP Database 2020 Summary Report, sections 2.4, 3.6, 4.6,5.5, 6.1. </w:t>
      </w:r>
      <w:r>
        <w:rPr>
          <w:position w:val="7"/>
          <w:sz w:val="13"/>
        </w:rPr>
        <w:t>54 </w:t>
      </w:r>
      <w:r>
        <w:rPr>
          <w:sz w:val="20"/>
        </w:rPr>
        <w:t>U.S. DOT BMP Selection and Monitoring, section 6.5 Table 57; U.S. EPA BMP Cost Estimation Memorandum, page 8.</w:t>
      </w:r>
    </w:p>
    <w:p>
      <w:pPr>
        <w:spacing w:after="0" w:line="237" w:lineRule="auto"/>
        <w:jc w:val="left"/>
        <w:rPr>
          <w:sz w:val="20"/>
        </w:rPr>
        <w:sectPr>
          <w:pgSz w:w="12240" w:h="15840"/>
          <w:pgMar w:header="728" w:footer="788" w:top="1540" w:bottom="980" w:left="1160" w:right="420"/>
        </w:sectPr>
      </w:pPr>
    </w:p>
    <w:p>
      <w:pPr>
        <w:pStyle w:val="BodyText"/>
        <w:spacing w:before="11"/>
        <w:rPr>
          <w:sz w:val="15"/>
        </w:rPr>
      </w:pPr>
    </w:p>
    <w:p>
      <w:pPr>
        <w:pStyle w:val="BodyText"/>
        <w:spacing w:line="237" w:lineRule="auto" w:before="94"/>
        <w:ind w:left="1791" w:right="1071"/>
        <w:rPr>
          <w:sz w:val="16"/>
        </w:rPr>
      </w:pPr>
      <w:r>
        <w:rPr/>
        <w:t>offer aesthetic value. Pretreatment to reduce the amount of sediment and other solids influent to the wetlands is critical and can reduce the overall maintenance needs.</w:t>
      </w:r>
      <w:r>
        <w:rPr>
          <w:position w:val="8"/>
          <w:sz w:val="16"/>
        </w:rPr>
        <w:t>55 </w:t>
      </w:r>
      <w:r>
        <w:rPr/>
        <w:t>Wetlands can significantly reduce all pollutant concentrations in this Order and are particularly effective for nitrates and fecal indicator bacteria.</w:t>
      </w:r>
      <w:r>
        <w:rPr>
          <w:position w:val="8"/>
          <w:sz w:val="16"/>
        </w:rPr>
        <w:t>56 </w:t>
      </w:r>
      <w:r>
        <w:rPr/>
        <w:t>Upfront costs can range from medium to high, and maintenance costs are generally medium.</w:t>
      </w:r>
      <w:r>
        <w:rPr>
          <w:position w:val="8"/>
          <w:sz w:val="16"/>
        </w:rPr>
        <w:t>57</w:t>
      </w:r>
    </w:p>
    <w:p>
      <w:pPr>
        <w:pStyle w:val="ListParagraph"/>
        <w:numPr>
          <w:ilvl w:val="5"/>
          <w:numId w:val="32"/>
        </w:numPr>
        <w:tabs>
          <w:tab w:pos="1791" w:val="left" w:leader="none"/>
        </w:tabs>
        <w:spacing w:line="240" w:lineRule="auto" w:before="240" w:after="0"/>
        <w:ind w:left="1791" w:right="1062" w:hanging="1512"/>
        <w:jc w:val="left"/>
        <w:rPr>
          <w:sz w:val="16"/>
        </w:rPr>
      </w:pPr>
      <w:r>
        <w:rPr>
          <w:sz w:val="24"/>
        </w:rPr>
        <w:t>Catch Basin Inserts or Drain Inlet Inserts are used to remove pollutants at the point of entry to the storm drain system. There are a multitude of inserts of various shapes and configurations including baffles, baskets, boxes, fabrics, sorbent media, screens, and skimmers. The effectiveness of drain inlet inserts depends on their design, application, loading, and frequency of maintenance to remove accumulated sediment, trash, and debris. As a type of manufactured treatment control device, catch basin insert effectiveness at reducing pollutant concentration is unique to manufacturer design.</w:t>
      </w:r>
      <w:r>
        <w:rPr>
          <w:position w:val="8"/>
          <w:sz w:val="16"/>
        </w:rPr>
        <w:t>58 </w:t>
      </w:r>
      <w:r>
        <w:rPr>
          <w:sz w:val="24"/>
        </w:rPr>
        <w:t>Upfront costs are generally low, but maintenance costs can range from medium to</w:t>
      </w:r>
      <w:r>
        <w:rPr>
          <w:spacing w:val="-3"/>
          <w:sz w:val="24"/>
        </w:rPr>
        <w:t> </w:t>
      </w:r>
      <w:r>
        <w:rPr>
          <w:sz w:val="24"/>
        </w:rPr>
        <w:t>high.</w:t>
      </w:r>
      <w:r>
        <w:rPr>
          <w:position w:val="8"/>
          <w:sz w:val="16"/>
        </w:rPr>
        <w:t>59</w:t>
      </w:r>
    </w:p>
    <w:p>
      <w:pPr>
        <w:pStyle w:val="Heading1"/>
        <w:numPr>
          <w:ilvl w:val="3"/>
          <w:numId w:val="32"/>
        </w:numPr>
        <w:tabs>
          <w:tab w:pos="1360" w:val="left" w:leader="none"/>
        </w:tabs>
        <w:spacing w:line="240" w:lineRule="auto" w:before="230" w:after="0"/>
        <w:ind w:left="1360" w:right="0" w:hanging="1080"/>
        <w:jc w:val="left"/>
        <w:rPr>
          <w:b w:val="0"/>
        </w:rPr>
      </w:pPr>
      <w:r>
        <w:rPr/>
        <w:t>Cost of not Addressing CII</w:t>
      </w:r>
      <w:r>
        <w:rPr>
          <w:spacing w:val="-2"/>
        </w:rPr>
        <w:t> </w:t>
      </w:r>
      <w:r>
        <w:rPr/>
        <w:t>Discharges</w:t>
      </w:r>
      <w:r>
        <w:rPr>
          <w:b w:val="0"/>
        </w:rPr>
        <w:t>.</w:t>
      </w:r>
    </w:p>
    <w:p>
      <w:pPr>
        <w:pStyle w:val="BodyText"/>
      </w:pPr>
    </w:p>
    <w:p>
      <w:pPr>
        <w:pStyle w:val="BodyText"/>
        <w:ind w:left="1359" w:right="1051"/>
      </w:pPr>
      <w:r>
        <w:rPr/>
        <w:t>While it is important to consider the cost of compliance, it is also important to consider the costs of impairment; that is, the negative impact of pollution on the economy and the positive impact of improved water quality. Economic benefits may result through program implementation, and both alternative costs and environmental impacts may be incurred by not fully implementing the program. Stormwater management programs cannot be considered solely in terms of their costs. The programs must also be viewed in terms of their value to the public.</w:t>
      </w:r>
      <w:r>
        <w:rPr>
          <w:position w:val="8"/>
          <w:sz w:val="16"/>
        </w:rPr>
        <w:t>60 </w:t>
      </w:r>
      <w:r>
        <w:rPr/>
        <w:t>For example, household willingness to pay for improvements in freshwater quality for fishing and boating has been estimated by U.S. EPA to be $289-384, adjusted for inflation.</w:t>
      </w:r>
      <w:r>
        <w:rPr>
          <w:position w:val="8"/>
          <w:sz w:val="16"/>
        </w:rPr>
        <w:t>61 </w:t>
      </w:r>
      <w:r>
        <w:rPr/>
        <w:t>This estimate can be considered conservative, since it does not include important considerations such as marine waters benefits, wildlife benefits, or flood control benefits. The California State University, Sacramento study corroborates U.S. EPA’s estimates, reporting annual household willingness</w:t>
      </w:r>
      <w:r>
        <w:rPr>
          <w:spacing w:val="-39"/>
        </w:rPr>
        <w:t> </w:t>
      </w:r>
      <w:r>
        <w:rPr/>
        <w:t>to</w:t>
      </w:r>
    </w:p>
    <w:p>
      <w:pPr>
        <w:pStyle w:val="BodyText"/>
        <w:rPr>
          <w:sz w:val="25"/>
        </w:rPr>
      </w:pPr>
      <w:r>
        <w:rPr/>
        <w:pict>
          <v:shape style="position:absolute;margin-left:72pt;margin-top:16.631861pt;width:144pt;height:.1pt;mso-position-horizontal-relative:page;mso-position-vertical-relative:paragraph;z-index:-251630592;mso-wrap-distance-left:0;mso-wrap-distance-right:0" coordorigin="1440,333" coordsize="2880,0" path="m1440,333l4320,333e" filled="false" stroked="true" strokeweight=".600010pt" strokecolor="#000000">
            <v:path arrowok="t"/>
            <v:stroke dashstyle="solid"/>
            <w10:wrap type="topAndBottom"/>
          </v:shape>
        </w:pict>
      </w:r>
    </w:p>
    <w:p>
      <w:pPr>
        <w:pStyle w:val="BodyText"/>
        <w:rPr>
          <w:sz w:val="20"/>
        </w:rPr>
      </w:pPr>
    </w:p>
    <w:p>
      <w:pPr>
        <w:pStyle w:val="BodyText"/>
        <w:spacing w:before="5"/>
        <w:rPr>
          <w:sz w:val="22"/>
        </w:rPr>
      </w:pPr>
    </w:p>
    <w:p>
      <w:pPr>
        <w:spacing w:line="232" w:lineRule="exact" w:before="95"/>
        <w:ind w:left="280" w:right="0" w:firstLine="0"/>
        <w:jc w:val="left"/>
        <w:rPr>
          <w:sz w:val="20"/>
        </w:rPr>
      </w:pPr>
      <w:r>
        <w:rPr>
          <w:position w:val="7"/>
          <w:sz w:val="13"/>
        </w:rPr>
        <w:t>55 </w:t>
      </w:r>
      <w:r>
        <w:rPr>
          <w:sz w:val="20"/>
        </w:rPr>
        <w:t>CASQA Industrial and Commercial BMP Handbook, TC-21 Constructed Wetlands.</w:t>
      </w:r>
    </w:p>
    <w:p>
      <w:pPr>
        <w:spacing w:line="237" w:lineRule="auto" w:before="0"/>
        <w:ind w:left="280" w:right="1152" w:firstLine="0"/>
        <w:jc w:val="left"/>
        <w:rPr>
          <w:sz w:val="20"/>
        </w:rPr>
      </w:pPr>
      <w:r>
        <w:rPr>
          <w:position w:val="7"/>
          <w:sz w:val="13"/>
        </w:rPr>
        <w:t>56 </w:t>
      </w:r>
      <w:r>
        <w:rPr>
          <w:sz w:val="20"/>
        </w:rPr>
        <w:t>WERF International Stormwater BMP Database 2020 Summary Report, sections 2.4, 3.6, 4.6,5.5, 6.1. </w:t>
      </w:r>
      <w:r>
        <w:rPr>
          <w:position w:val="7"/>
          <w:sz w:val="13"/>
        </w:rPr>
        <w:t>57 </w:t>
      </w:r>
      <w:r>
        <w:rPr>
          <w:sz w:val="20"/>
        </w:rPr>
        <w:t>U.S. DOT BMP Selection and Monitoring, section 6.5 Table 57; U.S. EPA BMP Cost Estimation Memorandum, page 8.</w:t>
      </w:r>
    </w:p>
    <w:p>
      <w:pPr>
        <w:spacing w:line="228" w:lineRule="exact" w:before="0"/>
        <w:ind w:left="280" w:right="0" w:firstLine="0"/>
        <w:jc w:val="left"/>
        <w:rPr>
          <w:sz w:val="20"/>
        </w:rPr>
      </w:pPr>
      <w:r>
        <w:rPr>
          <w:position w:val="7"/>
          <w:sz w:val="13"/>
        </w:rPr>
        <w:t>58 </w:t>
      </w:r>
      <w:r>
        <w:rPr>
          <w:sz w:val="20"/>
        </w:rPr>
        <w:t>CASQA Industrial and Commercial BMP Handbook, MP-52 Drain Inlet Insert.</w:t>
      </w:r>
    </w:p>
    <w:p>
      <w:pPr>
        <w:spacing w:line="240" w:lineRule="auto" w:before="0"/>
        <w:ind w:left="280" w:right="1035" w:hanging="1"/>
        <w:jc w:val="left"/>
        <w:rPr>
          <w:sz w:val="20"/>
        </w:rPr>
      </w:pPr>
      <w:r>
        <w:rPr>
          <w:position w:val="7"/>
          <w:sz w:val="13"/>
        </w:rPr>
        <w:t>59 </w:t>
      </w:r>
      <w:r>
        <w:rPr>
          <w:sz w:val="20"/>
        </w:rPr>
        <w:t>U.S. DOT BMP Selection and Monitoring, section 6.5 Table 57; U.S. EPA BMP Cost Estimation Memorandum, page 8.</w:t>
      </w:r>
    </w:p>
    <w:p>
      <w:pPr>
        <w:spacing w:line="228" w:lineRule="exact" w:before="0"/>
        <w:ind w:left="280" w:right="0" w:firstLine="0"/>
        <w:jc w:val="left"/>
        <w:rPr>
          <w:sz w:val="20"/>
        </w:rPr>
      </w:pPr>
      <w:r>
        <w:rPr>
          <w:position w:val="7"/>
          <w:sz w:val="13"/>
        </w:rPr>
        <w:t>60 </w:t>
      </w:r>
      <w:r>
        <w:rPr>
          <w:sz w:val="20"/>
        </w:rPr>
        <w:t>State Water Resources Control Board, 2000. Order WQ 2000-11.</w:t>
      </w:r>
    </w:p>
    <w:p>
      <w:pPr>
        <w:spacing w:line="240" w:lineRule="auto" w:before="0"/>
        <w:ind w:left="279" w:right="1642" w:firstLine="0"/>
        <w:jc w:val="left"/>
        <w:rPr>
          <w:sz w:val="20"/>
        </w:rPr>
      </w:pPr>
      <w:r>
        <w:rPr>
          <w:position w:val="7"/>
          <w:sz w:val="13"/>
        </w:rPr>
        <w:t>61 </w:t>
      </w:r>
      <w:r>
        <w:rPr>
          <w:sz w:val="20"/>
        </w:rPr>
        <w:t>Federal Register / Vol. 64, No. 235 / Wednesday, December 8, 1999 / Rules and Regulations. P. 68793.</w:t>
      </w:r>
    </w:p>
    <w:p>
      <w:pPr>
        <w:spacing w:after="0" w:line="240" w:lineRule="auto"/>
        <w:jc w:val="left"/>
        <w:rPr>
          <w:sz w:val="20"/>
        </w:rPr>
        <w:sectPr>
          <w:pgSz w:w="12240" w:h="15840"/>
          <w:pgMar w:header="728" w:footer="788" w:top="1540" w:bottom="980" w:left="1160" w:right="420"/>
        </w:sectPr>
      </w:pPr>
    </w:p>
    <w:p>
      <w:pPr>
        <w:pStyle w:val="BodyText"/>
        <w:spacing w:before="3"/>
        <w:rPr>
          <w:sz w:val="15"/>
        </w:rPr>
      </w:pPr>
    </w:p>
    <w:p>
      <w:pPr>
        <w:pStyle w:val="BodyText"/>
        <w:spacing w:before="95"/>
        <w:ind w:left="1359" w:right="1089"/>
      </w:pPr>
      <w:r>
        <w:rPr/>
        <w:t>pay for statewide clean water to be $290, adjusted for inflation.</w:t>
      </w:r>
      <w:r>
        <w:rPr>
          <w:position w:val="8"/>
          <w:sz w:val="16"/>
        </w:rPr>
        <w:t>62 </w:t>
      </w:r>
      <w:r>
        <w:rPr/>
        <w:t>Though these costs may be assessed differently at the state level than at the regional level, the results indicate that there is public support for stormwater management programs.</w:t>
      </w:r>
    </w:p>
    <w:p>
      <w:pPr>
        <w:pStyle w:val="BodyText"/>
        <w:spacing w:before="2"/>
      </w:pPr>
    </w:p>
    <w:p>
      <w:pPr>
        <w:pStyle w:val="BodyText"/>
        <w:spacing w:line="237" w:lineRule="auto" w:before="1"/>
        <w:ind w:left="1359" w:right="1067"/>
      </w:pPr>
      <w:r>
        <w:rPr/>
        <w:t>It is also important to consider the cost of not implementing a stormwater management program. A study of south Huntington Beach and north Newport Beach found that an illness rate of about 0.8% among bathers at those beaches resulted in about $3 million annually in health-related expenses.</w:t>
      </w:r>
      <w:r>
        <w:rPr>
          <w:position w:val="8"/>
          <w:sz w:val="16"/>
        </w:rPr>
        <w:t>63 </w:t>
      </w:r>
      <w:r>
        <w:rPr/>
        <w:t>Urban runoff in southern California has been found to cause illness in people bathing near storm drains.</w:t>
      </w:r>
      <w:r>
        <w:rPr>
          <w:position w:val="8"/>
          <w:sz w:val="16"/>
        </w:rPr>
        <w:t>64 </w:t>
      </w:r>
      <w:r>
        <w:rPr/>
        <w:t>Extrapolation of such illness rates and associated health expenses to the beaches and other water contact recreation areas in the region would increase these costs</w:t>
      </w:r>
      <w:r>
        <w:rPr>
          <w:spacing w:val="-12"/>
        </w:rPr>
        <w:t> </w:t>
      </w:r>
      <w:r>
        <w:rPr/>
        <w:t>significantly.</w:t>
      </w:r>
    </w:p>
    <w:p>
      <w:pPr>
        <w:pStyle w:val="BodyText"/>
        <w:spacing w:before="10"/>
      </w:pPr>
    </w:p>
    <w:p>
      <w:pPr>
        <w:pStyle w:val="BodyText"/>
        <w:ind w:left="1360" w:right="1089"/>
        <w:rPr>
          <w:sz w:val="16"/>
        </w:rPr>
      </w:pPr>
      <w:r>
        <w:rPr/>
        <w:t>Stormwater runoff and its impact on receiving waters also negatively affects the tourism industry. The California Travel and Tourism Commission estimated that out-of-state visitors spent $168 per person per day (including transportation) in California in 2007. The Commission estimated total direct travel spending in California was $97.6 billion, directly supporting 924,000 jobs, with earnings of $30.6 billion. Effects on tourism from stormwater runoff (e.g. beach closures) can have a significant impact on the economy. The City of Long Beach has approximately 7 miles of public beach and bays attracting thousands of residents and visitors throughout the year, but all public access is routinely restricted for 72 hours after rainfall due to high levels of bacteria from storm drains, rivers, and polluted runoff, impacting beach visitation and the local economy.</w:t>
      </w:r>
      <w:r>
        <w:rPr>
          <w:position w:val="8"/>
          <w:sz w:val="16"/>
        </w:rPr>
        <w:t>65</w:t>
      </w:r>
    </w:p>
    <w:p>
      <w:pPr>
        <w:pStyle w:val="BodyText"/>
        <w:spacing w:before="5"/>
        <w:rPr>
          <w:sz w:val="23"/>
        </w:rPr>
      </w:pPr>
    </w:p>
    <w:p>
      <w:pPr>
        <w:pStyle w:val="BodyText"/>
        <w:ind w:left="1359" w:right="1051"/>
        <w:rPr>
          <w:sz w:val="16"/>
        </w:rPr>
      </w:pPr>
      <w:r>
        <w:rPr/>
        <w:t>Finally, the benefits of stormwater management programs must be considered in conjunction with their costs. A study conducted by University of Southern California and the University of California, Los Angeles assessed the costs and benefits of implementing various approaches for achieving compliance with the MS4 permits in the Los Angeles Region. The study found that total costs would range from $9.24 to $11.99 billion, while benefits could reach $29.17 billion after adjusting for</w:t>
      </w:r>
      <w:r>
        <w:rPr>
          <w:spacing w:val="-4"/>
        </w:rPr>
        <w:t> </w:t>
      </w:r>
      <w:r>
        <w:rPr/>
        <w:t>inflation.</w:t>
      </w:r>
      <w:r>
        <w:rPr>
          <w:position w:val="8"/>
          <w:sz w:val="16"/>
        </w:rPr>
        <w:t>66</w:t>
      </w:r>
    </w:p>
    <w:p>
      <w:pPr>
        <w:pStyle w:val="BodyText"/>
        <w:rPr>
          <w:sz w:val="20"/>
        </w:rPr>
      </w:pPr>
    </w:p>
    <w:p>
      <w:pPr>
        <w:pStyle w:val="BodyText"/>
        <w:rPr>
          <w:sz w:val="20"/>
        </w:rPr>
      </w:pPr>
    </w:p>
    <w:p>
      <w:pPr>
        <w:pStyle w:val="BodyText"/>
        <w:spacing w:before="7"/>
        <w:rPr>
          <w:sz w:val="28"/>
        </w:rPr>
      </w:pPr>
    </w:p>
    <w:p>
      <w:pPr>
        <w:spacing w:line="232" w:lineRule="exact" w:before="95"/>
        <w:ind w:left="280" w:right="0" w:firstLine="0"/>
        <w:jc w:val="left"/>
        <w:rPr>
          <w:sz w:val="20"/>
        </w:rPr>
      </w:pPr>
      <w:r>
        <w:rPr>
          <w:position w:val="7"/>
          <w:sz w:val="13"/>
        </w:rPr>
        <w:t>62 </w:t>
      </w:r>
      <w:r>
        <w:rPr>
          <w:sz w:val="20"/>
        </w:rPr>
        <w:t>State Water Resources Control Board, 2005. NPDES Storm water Cost Survey. P. iv.</w:t>
      </w:r>
    </w:p>
    <w:p>
      <w:pPr>
        <w:spacing w:before="0"/>
        <w:ind w:left="280" w:right="1035" w:hanging="1"/>
        <w:jc w:val="left"/>
        <w:rPr>
          <w:sz w:val="20"/>
        </w:rPr>
      </w:pPr>
      <w:r>
        <w:rPr>
          <w:position w:val="7"/>
          <w:sz w:val="13"/>
        </w:rPr>
        <w:t>63 </w:t>
      </w:r>
      <w:r>
        <w:rPr>
          <w:sz w:val="20"/>
        </w:rPr>
        <w:t>Los Angeles Times, May 2, 2005. Here’s What Ocean Germs Cost You: A UC Irvine Study Tallies the Cost of Treatment and Lost Wages for Beachgoers Who Get Sick.</w:t>
      </w:r>
    </w:p>
    <w:p>
      <w:pPr>
        <w:spacing w:line="240" w:lineRule="auto" w:before="0"/>
        <w:ind w:left="279" w:right="1035" w:firstLine="0"/>
        <w:jc w:val="left"/>
        <w:rPr>
          <w:sz w:val="20"/>
        </w:rPr>
      </w:pPr>
      <w:r>
        <w:rPr>
          <w:position w:val="7"/>
          <w:sz w:val="13"/>
        </w:rPr>
        <w:t>64 </w:t>
      </w:r>
      <w:r>
        <w:rPr>
          <w:sz w:val="20"/>
        </w:rPr>
        <w:t>Haile, R.W., et al, 1996. An Epidemiological Study of Possible Adverse Health Effects of Swimming in Santa Monica Bay. Santa Monica Bay Restoration Project.</w:t>
      </w:r>
    </w:p>
    <w:p>
      <w:pPr>
        <w:spacing w:line="240" w:lineRule="auto" w:before="0"/>
        <w:ind w:left="280" w:right="1035" w:firstLine="0"/>
        <w:jc w:val="left"/>
        <w:rPr>
          <w:sz w:val="20"/>
        </w:rPr>
      </w:pPr>
      <w:r>
        <w:rPr>
          <w:position w:val="7"/>
          <w:sz w:val="13"/>
        </w:rPr>
        <w:t>65 </w:t>
      </w:r>
      <w:r>
        <w:rPr>
          <w:color w:val="0000FF"/>
          <w:sz w:val="20"/>
          <w:u w:val="single" w:color="0000FF"/>
        </w:rPr>
        <w:t>Long Beach Bureau of Environmental Health. Recreational Water Monitoring.</w:t>
      </w:r>
      <w:r>
        <w:rPr>
          <w:color w:val="0000FF"/>
          <w:sz w:val="20"/>
        </w:rPr>
        <w:t> </w:t>
      </w:r>
      <w:r>
        <w:rPr>
          <w:sz w:val="20"/>
        </w:rPr>
        <w:t>(accessed January 3, 2023)</w:t>
      </w:r>
    </w:p>
    <w:p>
      <w:pPr>
        <w:spacing w:line="240" w:lineRule="auto" w:before="0"/>
        <w:ind w:left="279" w:right="1747" w:firstLine="0"/>
        <w:jc w:val="left"/>
        <w:rPr>
          <w:sz w:val="20"/>
        </w:rPr>
      </w:pPr>
      <w:r>
        <w:rPr>
          <w:position w:val="7"/>
          <w:sz w:val="13"/>
        </w:rPr>
        <w:t>66 </w:t>
      </w:r>
      <w:r>
        <w:rPr>
          <w:sz w:val="20"/>
        </w:rPr>
        <w:t>Devinny, Joseph S., Sheldon Kamieniecki, and Michael Stenstrom. “Appendix H: Alternative Approaches to Stormwater Control.” </w:t>
      </w:r>
      <w:r>
        <w:rPr>
          <w:i/>
          <w:color w:val="0000FF"/>
          <w:sz w:val="20"/>
        </w:rPr>
        <w:t>NPDES Storm Water Cost Survey Final Report</w:t>
      </w:r>
      <w:r>
        <w:rPr>
          <w:i/>
          <w:sz w:val="20"/>
        </w:rPr>
        <w:t>. </w:t>
      </w:r>
      <w:r>
        <w:rPr>
          <w:sz w:val="20"/>
        </w:rPr>
        <w:t>University of Southern California; University of California at Los Angeles, 2004.</w:t>
      </w:r>
    </w:p>
    <w:p>
      <w:pPr>
        <w:spacing w:after="0" w:line="240" w:lineRule="auto"/>
        <w:jc w:val="left"/>
        <w:rPr>
          <w:sz w:val="20"/>
        </w:rPr>
        <w:sectPr>
          <w:headerReference w:type="default" r:id="rId62"/>
          <w:footerReference w:type="default" r:id="rId63"/>
          <w:pgSz w:w="12240" w:h="15840"/>
          <w:pgMar w:header="728" w:footer="1160" w:top="1540" w:bottom="1340" w:left="1160" w:right="420"/>
        </w:sectPr>
      </w:pPr>
    </w:p>
    <w:p>
      <w:pPr>
        <w:pStyle w:val="BodyText"/>
        <w:rPr>
          <w:sz w:val="20"/>
        </w:rPr>
      </w:pPr>
    </w:p>
    <w:p>
      <w:pPr>
        <w:pStyle w:val="BodyText"/>
        <w:spacing w:before="11"/>
        <w:rPr>
          <w:sz w:val="19"/>
        </w:rPr>
      </w:pPr>
    </w:p>
    <w:p>
      <w:pPr>
        <w:pStyle w:val="BodyText"/>
        <w:spacing w:before="92"/>
        <w:ind w:left="1360" w:right="1075"/>
      </w:pPr>
      <w:r>
        <w:rPr/>
        <w:t>Failure to regulate discharges from CII facilities will result in greater pollution of the waters in the Dominguez Channel/Inner and Outer Los Angeles and Long Beach Harbor Watershed and the Los Cerritos Channel/Alamitos Bay Watershed. The compliance options allowed by this permit employ regional and structural approaches that will generate lasting positive impact to water quality. In addition, stormwater capture is an integral part of the compliance options for this permit. Stormwater capture and infiltration projects can enhance local communities by increasing green space, while promoting flood control, augmenting local water supply, and alleviating climate change effects by reducing urban heat islands.</w:t>
      </w:r>
    </w:p>
    <w:p>
      <w:pPr>
        <w:pStyle w:val="BodyText"/>
        <w:spacing w:before="10"/>
        <w:rPr>
          <w:sz w:val="20"/>
        </w:rPr>
      </w:pPr>
    </w:p>
    <w:p>
      <w:pPr>
        <w:pStyle w:val="Heading1"/>
        <w:numPr>
          <w:ilvl w:val="2"/>
          <w:numId w:val="32"/>
        </w:numPr>
        <w:tabs>
          <w:tab w:pos="1101" w:val="left" w:leader="none"/>
        </w:tabs>
        <w:spacing w:line="240" w:lineRule="auto" w:before="1" w:after="0"/>
        <w:ind w:left="1100" w:right="0" w:hanging="821"/>
        <w:jc w:val="left"/>
      </w:pPr>
      <w:r>
        <w:rPr/>
        <w:t>The Need for Developing Housing Within the</w:t>
      </w:r>
      <w:r>
        <w:rPr>
          <w:spacing w:val="-3"/>
        </w:rPr>
        <w:t> </w:t>
      </w:r>
      <w:r>
        <w:rPr/>
        <w:t>Region.</w:t>
      </w:r>
    </w:p>
    <w:p>
      <w:pPr>
        <w:pStyle w:val="BodyText"/>
        <w:spacing w:before="11"/>
        <w:rPr>
          <w:b/>
          <w:sz w:val="23"/>
        </w:rPr>
      </w:pPr>
    </w:p>
    <w:p>
      <w:pPr>
        <w:pStyle w:val="BodyText"/>
        <w:ind w:left="1100" w:right="1094"/>
      </w:pPr>
      <w:r>
        <w:rPr/>
        <w:t>The Order helps address the water needs associated with the need for housing by controlling the quality and quantity of stormwater discharges and providing compliance options that encourage the use of stormwater as a water resource. These approaches can reduce demand for potable water through beneficial use of stormwater, augment the supply of water for advanced treatment and recycling, and preserve and augment local groundwater resources thereby reducing imported water needs and increasing local water resiliency. Local water resiliency increases the region’s capacity to support increases in population and the accompanying need for housing.</w:t>
      </w:r>
    </w:p>
    <w:p>
      <w:pPr>
        <w:pStyle w:val="BodyText"/>
        <w:spacing w:before="9"/>
        <w:rPr>
          <w:sz w:val="20"/>
        </w:rPr>
      </w:pPr>
    </w:p>
    <w:p>
      <w:pPr>
        <w:pStyle w:val="BodyText"/>
        <w:ind w:left="1100" w:right="1095"/>
      </w:pPr>
      <w:r>
        <w:rPr/>
        <w:t>The Order contains a California Water Code section 13241 analysis, which includes an analysis of the need for developing housing within the Los Angeles Region. The housing impact analysis focuses on the need for developing housing, as required by California Water Code section 13241, rather than the potential impacts on the cost of housing. Specifically with respect to housing impact, the Los Angeles Water Board finds that the Order controls will result in improved stormwater management, which, depending on the compliance option chosen, could augment water supply in the Los Angeles Region. To explain, according to the U.S. Census, between April 1, 2010, to July 1, 2018, Los Angeles County experienced an estimated population increase of 2.9%</w:t>
      </w:r>
      <w:r>
        <w:rPr>
          <w:position w:val="8"/>
          <w:sz w:val="16"/>
        </w:rPr>
        <w:t>67</w:t>
      </w:r>
      <w:r>
        <w:rPr/>
        <w:t>. An increase in population creates a demand for more housing. Based on data from the California Department of Finance, Los Angeles County has been experiencing an increase in population and housing units since 2010</w:t>
      </w:r>
      <w:r>
        <w:rPr>
          <w:position w:val="8"/>
          <w:sz w:val="16"/>
        </w:rPr>
        <w:t>68</w:t>
      </w:r>
      <w:r>
        <w:rPr/>
        <w:t>. An increase in population and housing creates a demand for more water use and supply. The Los Angeles Region has for over 100 years relied on imported water to meet many of our water resource needs. Imported water makes up</w:t>
      </w:r>
    </w:p>
    <w:p>
      <w:pPr>
        <w:pStyle w:val="BodyText"/>
        <w:rPr>
          <w:sz w:val="21"/>
        </w:rPr>
      </w:pPr>
      <w:r>
        <w:rPr/>
        <w:pict>
          <v:shape style="position:absolute;margin-left:72pt;margin-top:14.3381pt;width:144pt;height:.1pt;mso-position-horizontal-relative:page;mso-position-vertical-relative:paragraph;z-index:-251629568;mso-wrap-distance-left:0;mso-wrap-distance-right:0" coordorigin="1440,287" coordsize="2880,0" path="m1440,287l4320,287e" filled="false" stroked="true" strokeweight=".600010pt" strokecolor="#000000">
            <v:path arrowok="t"/>
            <v:stroke dashstyle="solid"/>
            <w10:wrap type="topAndBottom"/>
          </v:shape>
        </w:pict>
      </w:r>
    </w:p>
    <w:p>
      <w:pPr>
        <w:pStyle w:val="BodyText"/>
        <w:rPr>
          <w:sz w:val="20"/>
        </w:rPr>
      </w:pPr>
    </w:p>
    <w:p>
      <w:pPr>
        <w:pStyle w:val="BodyText"/>
        <w:spacing w:before="6"/>
        <w:rPr>
          <w:sz w:val="22"/>
        </w:rPr>
      </w:pPr>
    </w:p>
    <w:p>
      <w:pPr>
        <w:spacing w:line="232" w:lineRule="exact" w:before="95"/>
        <w:ind w:left="280" w:right="0" w:firstLine="0"/>
        <w:jc w:val="left"/>
        <w:rPr>
          <w:sz w:val="20"/>
        </w:rPr>
      </w:pPr>
      <w:r>
        <w:rPr>
          <w:position w:val="7"/>
          <w:sz w:val="13"/>
        </w:rPr>
        <w:t>67 </w:t>
      </w:r>
      <w:r>
        <w:rPr>
          <w:color w:val="0000FF"/>
          <w:sz w:val="20"/>
          <w:u w:val="single" w:color="0000FF"/>
        </w:rPr>
        <w:t>U.S. Census Bureau QuickFacts: Ventura County, California; Los Angeles County, California</w:t>
      </w:r>
    </w:p>
    <w:p>
      <w:pPr>
        <w:spacing w:line="240" w:lineRule="auto" w:before="0"/>
        <w:ind w:left="280" w:right="1035" w:firstLine="0"/>
        <w:jc w:val="left"/>
        <w:rPr>
          <w:sz w:val="20"/>
        </w:rPr>
      </w:pPr>
      <w:r>
        <w:rPr>
          <w:position w:val="7"/>
          <w:sz w:val="13"/>
        </w:rPr>
        <w:t>68 </w:t>
      </w:r>
      <w:r>
        <w:rPr>
          <w:color w:val="0000FF"/>
          <w:sz w:val="20"/>
          <w:u w:val="single" w:color="0000FF"/>
        </w:rPr>
        <w:t>E-5 Population and Housing Estimates for Cities, Counties, and the State, 2020-2023 | Department of</w:t>
      </w:r>
      <w:r>
        <w:rPr>
          <w:color w:val="0000FF"/>
          <w:sz w:val="20"/>
        </w:rPr>
        <w:t> </w:t>
      </w:r>
      <w:r>
        <w:rPr>
          <w:color w:val="0000FF"/>
          <w:sz w:val="20"/>
          <w:u w:val="single" w:color="0000FF"/>
        </w:rPr>
        <w:t>Finance (ca.gov)</w:t>
      </w:r>
    </w:p>
    <w:p>
      <w:pPr>
        <w:spacing w:after="0" w:line="240" w:lineRule="auto"/>
        <w:jc w:val="left"/>
        <w:rPr>
          <w:sz w:val="20"/>
        </w:rPr>
        <w:sectPr>
          <w:headerReference w:type="default" r:id="rId64"/>
          <w:footerReference w:type="default" r:id="rId65"/>
          <w:pgSz w:w="12240" w:h="15840"/>
          <w:pgMar w:header="728" w:footer="788" w:top="1540" w:bottom="980" w:left="1160" w:right="420"/>
          <w:pgNumType w:start="29"/>
        </w:sectPr>
      </w:pPr>
    </w:p>
    <w:p>
      <w:pPr>
        <w:pStyle w:val="BodyText"/>
        <w:spacing w:before="11"/>
        <w:rPr>
          <w:sz w:val="15"/>
        </w:rPr>
      </w:pPr>
    </w:p>
    <w:p>
      <w:pPr>
        <w:pStyle w:val="BodyText"/>
        <w:spacing w:before="92"/>
        <w:ind w:left="1100" w:right="1228"/>
      </w:pPr>
      <w:r>
        <w:rPr/>
        <w:t>approximately 70 to 75% of the Southern California region’s water supply, with local ground water, local surface water, and reclaimed water making up the remaining 25 to 30%</w:t>
      </w:r>
      <w:r>
        <w:rPr>
          <w:position w:val="8"/>
          <w:sz w:val="16"/>
        </w:rPr>
        <w:t>69</w:t>
      </w:r>
      <w:r>
        <w:rPr/>
        <w:t>. The CII Permit’s compliance options will help increase the supply of water locally by contributing to stormwater capture and recycling projects and groundwater and surface water quality improvements in the Los Cerritos and Dominguez Channel Watersheds.</w:t>
      </w:r>
    </w:p>
    <w:p>
      <w:pPr>
        <w:pStyle w:val="BodyText"/>
        <w:spacing w:before="5"/>
        <w:rPr>
          <w:sz w:val="20"/>
        </w:rPr>
      </w:pPr>
    </w:p>
    <w:p>
      <w:pPr>
        <w:pStyle w:val="Heading1"/>
        <w:numPr>
          <w:ilvl w:val="2"/>
          <w:numId w:val="32"/>
        </w:numPr>
        <w:tabs>
          <w:tab w:pos="1101" w:val="left" w:leader="none"/>
        </w:tabs>
        <w:spacing w:line="240" w:lineRule="auto" w:before="0" w:after="0"/>
        <w:ind w:left="1100" w:right="0" w:hanging="821"/>
        <w:jc w:val="left"/>
      </w:pPr>
      <w:r>
        <w:rPr/>
        <w:t>The Need to Develop and Use Recycled</w:t>
      </w:r>
      <w:r>
        <w:rPr>
          <w:spacing w:val="-3"/>
        </w:rPr>
        <w:t> </w:t>
      </w:r>
      <w:r>
        <w:rPr/>
        <w:t>Water.</w:t>
      </w:r>
    </w:p>
    <w:p>
      <w:pPr>
        <w:pStyle w:val="BodyText"/>
        <w:spacing w:before="3"/>
        <w:rPr>
          <w:b/>
        </w:rPr>
      </w:pPr>
    </w:p>
    <w:p>
      <w:pPr>
        <w:pStyle w:val="BodyText"/>
        <w:spacing w:line="237" w:lineRule="auto"/>
        <w:ind w:left="1100" w:right="1030"/>
      </w:pPr>
      <w:r>
        <w:rPr/>
        <w:t>In April 2019, Governor Newsom issued Executive Order N-10-19, ordering key agencies, including the California Environmental Protection Agency, to prepare a water resilience portfolio that meets the needs of California’s communities, economy, and environment through the 21st century.</w:t>
      </w:r>
      <w:r>
        <w:rPr>
          <w:position w:val="8"/>
          <w:sz w:val="16"/>
        </w:rPr>
        <w:t>70 </w:t>
      </w:r>
      <w:r>
        <w:rPr/>
        <w:t>The draft portfolio includes a number of recommendations related to making stormwater capture a growing share of local water supply.</w:t>
      </w:r>
      <w:r>
        <w:rPr>
          <w:position w:val="8"/>
          <w:sz w:val="16"/>
        </w:rPr>
        <w:t>71 </w:t>
      </w:r>
      <w:r>
        <w:rPr/>
        <w:t>The Order helps address the need to develop and use recycled water by providing compliance options that encourage stormwater as a recycled water</w:t>
      </w:r>
      <w:r>
        <w:rPr>
          <w:spacing w:val="-1"/>
        </w:rPr>
        <w:t> </w:t>
      </w:r>
      <w:r>
        <w:rPr/>
        <w:t>resource.</w:t>
      </w:r>
    </w:p>
    <w:p>
      <w:pPr>
        <w:pStyle w:val="BodyText"/>
        <w:spacing w:before="8"/>
        <w:rPr>
          <w:sz w:val="21"/>
        </w:rPr>
      </w:pPr>
    </w:p>
    <w:p>
      <w:pPr>
        <w:pStyle w:val="Heading1"/>
        <w:numPr>
          <w:ilvl w:val="1"/>
          <w:numId w:val="30"/>
        </w:numPr>
        <w:tabs>
          <w:tab w:pos="871" w:val="left" w:leader="none"/>
        </w:tabs>
        <w:spacing w:line="240" w:lineRule="auto" w:before="0" w:after="0"/>
        <w:ind w:left="870" w:right="0" w:hanging="591"/>
        <w:jc w:val="left"/>
      </w:pPr>
      <w:r>
        <w:rPr/>
        <w:t>Total Maximum Daily Loads</w:t>
      </w:r>
      <w:r>
        <w:rPr>
          <w:spacing w:val="-2"/>
        </w:rPr>
        <w:t> </w:t>
      </w:r>
      <w:r>
        <w:rPr/>
        <w:t>(TMDLs).</w:t>
      </w:r>
    </w:p>
    <w:p>
      <w:pPr>
        <w:pStyle w:val="BodyText"/>
        <w:rPr>
          <w:b/>
        </w:rPr>
      </w:pPr>
    </w:p>
    <w:p>
      <w:pPr>
        <w:pStyle w:val="BodyText"/>
        <w:ind w:left="870" w:right="1072"/>
      </w:pPr>
      <w:r>
        <w:rPr/>
        <w:t>TMDLs are regulatory tools that provide the maximum amount of a pollutant that a water body can receive and still attain water quality standards. A TMDL is defined as the sum of the allowable loads of a pollutant from all contributing point sources (waste load allocations [WLAs]) and non-point sources (load allocations) in the watershed, plus the contribution from background sources. (40 C.F.R. § 130.2, subd. (i).) Discharges covered by this General Permit are considered to be point source discharges, and therefore must comply with effluent limitations that are “consistent with the assumptions and requirements of any available waste load allocation for the discharge prepared by the State and approved by EPA pursuant to 40 Code of Federal Regulations section 130.7.” (40 CFR § 122.44, subd. (d)(1)(vii).) In addition, CWC section 13263, subdivision (a), requires that waste discharge requirements implement relevant water quality control plans.</w:t>
      </w:r>
    </w:p>
    <w:p>
      <w:pPr>
        <w:pStyle w:val="BodyText"/>
        <w:spacing w:before="11"/>
        <w:rPr>
          <w:sz w:val="23"/>
        </w:rPr>
      </w:pPr>
    </w:p>
    <w:p>
      <w:pPr>
        <w:pStyle w:val="BodyText"/>
        <w:ind w:left="870" w:right="1193"/>
      </w:pPr>
      <w:r>
        <w:rPr/>
        <w:t>There are currently two TMDLs for impaired waterbodies in the Alamitos Bay/Los Cerritos Channel Watershed and five TMDLs for impaired waterbodies in the Dominguez Channel/Greater Los Angeles and Long Beach Harbor Watershed.</w:t>
      </w:r>
    </w:p>
    <w:p>
      <w:pPr>
        <w:pStyle w:val="BodyText"/>
        <w:ind w:left="870"/>
      </w:pPr>
      <w:r>
        <w:rPr/>
        <w:t>These TMDLs are for pollutants classified into the categories of bacteria, metals,</w:t>
      </w:r>
    </w:p>
    <w:p>
      <w:pPr>
        <w:pStyle w:val="BodyText"/>
        <w:rPr>
          <w:sz w:val="20"/>
        </w:rPr>
      </w:pPr>
    </w:p>
    <w:p>
      <w:pPr>
        <w:pStyle w:val="BodyText"/>
        <w:rPr>
          <w:sz w:val="13"/>
        </w:rPr>
      </w:pPr>
      <w:r>
        <w:rPr/>
        <w:pict>
          <v:shape style="position:absolute;margin-left:72pt;margin-top:9.73648pt;width:144pt;height:.1pt;mso-position-horizontal-relative:page;mso-position-vertical-relative:paragraph;z-index:-251628544;mso-wrap-distance-left:0;mso-wrap-distance-right:0" coordorigin="1440,195" coordsize="2880,0" path="m1440,195l4320,195e" filled="false" stroked="true" strokeweight=".59999pt" strokecolor="#000000">
            <v:path arrowok="t"/>
            <v:stroke dashstyle="solid"/>
            <w10:wrap type="topAndBottom"/>
          </v:shape>
        </w:pict>
      </w:r>
    </w:p>
    <w:p>
      <w:pPr>
        <w:pStyle w:val="BodyText"/>
        <w:rPr>
          <w:sz w:val="20"/>
        </w:rPr>
      </w:pPr>
    </w:p>
    <w:p>
      <w:pPr>
        <w:pStyle w:val="BodyText"/>
        <w:spacing w:before="5"/>
        <w:rPr>
          <w:sz w:val="22"/>
        </w:rPr>
      </w:pPr>
    </w:p>
    <w:p>
      <w:pPr>
        <w:spacing w:line="232" w:lineRule="exact" w:before="95"/>
        <w:ind w:left="280" w:right="0" w:firstLine="0"/>
        <w:jc w:val="left"/>
        <w:rPr>
          <w:sz w:val="20"/>
        </w:rPr>
      </w:pPr>
      <w:r>
        <w:rPr>
          <w:position w:val="7"/>
          <w:sz w:val="13"/>
        </w:rPr>
        <w:t>69 </w:t>
      </w:r>
      <w:r>
        <w:rPr>
          <w:color w:val="0000FF"/>
          <w:sz w:val="20"/>
          <w:u w:val="single" w:color="0000FF"/>
        </w:rPr>
        <w:t>The State of the Region 2007 Report - Complete (ca.gov)</w:t>
      </w:r>
    </w:p>
    <w:p>
      <w:pPr>
        <w:spacing w:before="0"/>
        <w:ind w:left="279" w:right="1751" w:firstLine="0"/>
        <w:jc w:val="left"/>
        <w:rPr>
          <w:sz w:val="20"/>
        </w:rPr>
      </w:pPr>
      <w:r>
        <w:rPr>
          <w:position w:val="7"/>
          <w:sz w:val="13"/>
        </w:rPr>
        <w:t>70 </w:t>
      </w:r>
      <w:r>
        <w:rPr>
          <w:sz w:val="20"/>
        </w:rPr>
        <w:t>Executive Department State of California Executive Order N-10-19. http</w:t>
      </w:r>
      <w:hyperlink r:id="rId66">
        <w:r>
          <w:rPr>
            <w:sz w:val="20"/>
          </w:rPr>
          <w:t>s://www.gov.ca.gov/</w:t>
        </w:r>
      </w:hyperlink>
      <w:r>
        <w:rPr>
          <w:sz w:val="20"/>
        </w:rPr>
        <w:t>wp- content/uploads/2019/04/4.29.19-EO-N-10-19-Attested.pdf.</w:t>
      </w:r>
    </w:p>
    <w:p>
      <w:pPr>
        <w:spacing w:line="240" w:lineRule="auto" w:before="0"/>
        <w:ind w:left="280" w:right="1035" w:hanging="1"/>
        <w:jc w:val="left"/>
        <w:rPr>
          <w:sz w:val="20"/>
        </w:rPr>
      </w:pPr>
      <w:r>
        <w:rPr>
          <w:position w:val="7"/>
          <w:sz w:val="13"/>
        </w:rPr>
        <w:t>71 </w:t>
      </w:r>
      <w:r>
        <w:rPr>
          <w:sz w:val="20"/>
        </w:rPr>
        <w:t>California Natural Resources Agency, California Environmental Protection Agency, and California Department of Food &amp; Agriculture. 2020 Water Resilience Portfolio. Draft. January 3, 2020.</w:t>
      </w:r>
    </w:p>
    <w:p>
      <w:pPr>
        <w:spacing w:after="0" w:line="240" w:lineRule="auto"/>
        <w:jc w:val="left"/>
        <w:rPr>
          <w:sz w:val="20"/>
        </w:rPr>
        <w:sectPr>
          <w:pgSz w:w="12240" w:h="15840"/>
          <w:pgMar w:header="728" w:footer="788" w:top="1540" w:bottom="980" w:left="1160" w:right="420"/>
        </w:sectPr>
      </w:pPr>
    </w:p>
    <w:p>
      <w:pPr>
        <w:pStyle w:val="BodyText"/>
        <w:spacing w:before="11"/>
        <w:rPr>
          <w:sz w:val="15"/>
        </w:rPr>
      </w:pPr>
    </w:p>
    <w:p>
      <w:pPr>
        <w:pStyle w:val="BodyText"/>
        <w:spacing w:before="92"/>
        <w:ind w:left="870" w:right="1366"/>
      </w:pPr>
      <w:r>
        <w:rPr/>
        <w:t>nutrients, PAHs, PCBs, pesticides, toxicity, and trash. All applicable TMDL requirements are implemented in this General Permit as effluent limitations and permit conditions. The applicable TMDLs are described below and listed in Attachment J.</w:t>
      </w:r>
    </w:p>
    <w:p>
      <w:pPr>
        <w:pStyle w:val="BodyText"/>
        <w:spacing w:before="10"/>
        <w:rPr>
          <w:sz w:val="20"/>
        </w:rPr>
      </w:pPr>
    </w:p>
    <w:p>
      <w:pPr>
        <w:pStyle w:val="Heading1"/>
        <w:numPr>
          <w:ilvl w:val="2"/>
          <w:numId w:val="30"/>
        </w:numPr>
        <w:tabs>
          <w:tab w:pos="1101" w:val="left" w:leader="none"/>
        </w:tabs>
        <w:spacing w:line="240" w:lineRule="auto" w:before="0" w:after="0"/>
        <w:ind w:left="1100" w:right="0" w:hanging="822"/>
        <w:jc w:val="left"/>
      </w:pPr>
      <w:r>
        <w:rPr/>
        <w:t>Harbor Bacteria</w:t>
      </w:r>
      <w:r>
        <w:rPr>
          <w:spacing w:val="-3"/>
        </w:rPr>
        <w:t> </w:t>
      </w:r>
      <w:r>
        <w:rPr/>
        <w:t>TMDL</w:t>
      </w:r>
    </w:p>
    <w:p>
      <w:pPr>
        <w:pStyle w:val="BodyText"/>
        <w:ind w:left="1100" w:right="1055"/>
      </w:pPr>
      <w:r>
        <w:rPr/>
        <w:t>The Los Angeles Harbor Bacteria TMDL (Harbor Bacteria TMDL), included in Chapter 7-11 of the Basin Plan, became effective on March 10, 2005. The Harbor Bacteria TMDL assigns WLAs to the City of Los Angeles and the County of Los Angeles as MS4 sources, as well as any future enrollees under a general NPDES permit, general industrial stormwater permit or general construction stormwater permit within the watershed draining to Inner Cabrillo Beach and the Main Ship Channel. The WLAs assigned to future sources are equal to zero days of allowable exceedances of the TMDL numeric targets. The WLAs apply as of March 10, 2010.</w:t>
      </w:r>
    </w:p>
    <w:p>
      <w:pPr>
        <w:pStyle w:val="BodyText"/>
        <w:spacing w:before="10"/>
        <w:rPr>
          <w:sz w:val="20"/>
        </w:rPr>
      </w:pPr>
    </w:p>
    <w:p>
      <w:pPr>
        <w:pStyle w:val="Heading1"/>
        <w:numPr>
          <w:ilvl w:val="2"/>
          <w:numId w:val="30"/>
        </w:numPr>
        <w:tabs>
          <w:tab w:pos="1101" w:val="left" w:leader="none"/>
        </w:tabs>
        <w:spacing w:line="240" w:lineRule="auto" w:before="1" w:after="0"/>
        <w:ind w:left="1100" w:right="0" w:hanging="821"/>
        <w:jc w:val="left"/>
      </w:pPr>
      <w:r>
        <w:rPr/>
        <w:t>Harbor Toxics</w:t>
      </w:r>
      <w:r>
        <w:rPr>
          <w:spacing w:val="-1"/>
        </w:rPr>
        <w:t> </w:t>
      </w:r>
      <w:r>
        <w:rPr/>
        <w:t>TMDL</w:t>
      </w:r>
    </w:p>
    <w:p>
      <w:pPr>
        <w:pStyle w:val="BodyText"/>
        <w:ind w:left="1100" w:right="1076"/>
      </w:pPr>
      <w:r>
        <w:rPr/>
        <w:t>The TMDL for Toxic Pollutants in Dominguez Channel and Greater Los Angeles and Long Beach Harbors Waters (Harbor Toxics TMDL), included in Chapter 7- 40 of the Basin Plan, became effective on March 23, 2012. The Harbor Toxics TMDL includes WLAs for toxicity, metals, PAHs, total DDT, PCBs, chlordane, and dieldrin. The TMDL assigns interim and final WLAs to point source discharges, including stormwater discharges (MS4, Caltrans, general construction and general industrial stormwater dischargers), other NPDES dischargers, and any future NPDES dischargers, to the freshwater portions of Dominguez Channel (above Vermont Avenue), Torrance Lateral, and the Dominguez Channel Estuary and Greater Los Angeles and Long Beach Harbor Waters. The interim WLAs apply as of March 23, 2012, and the final WLAs apply on March 23, 2032.</w:t>
      </w:r>
    </w:p>
    <w:p>
      <w:pPr>
        <w:pStyle w:val="BodyText"/>
        <w:spacing w:before="9"/>
        <w:rPr>
          <w:sz w:val="20"/>
        </w:rPr>
      </w:pPr>
    </w:p>
    <w:p>
      <w:pPr>
        <w:pStyle w:val="Heading1"/>
        <w:numPr>
          <w:ilvl w:val="2"/>
          <w:numId w:val="30"/>
        </w:numPr>
        <w:tabs>
          <w:tab w:pos="1101" w:val="left" w:leader="none"/>
        </w:tabs>
        <w:spacing w:line="240" w:lineRule="auto" w:before="0" w:after="0"/>
        <w:ind w:left="1100" w:right="0" w:hanging="821"/>
        <w:jc w:val="left"/>
      </w:pPr>
      <w:r>
        <w:rPr/>
        <w:t>Machado Lake Trash</w:t>
      </w:r>
      <w:r>
        <w:rPr>
          <w:spacing w:val="-1"/>
        </w:rPr>
        <w:t> </w:t>
      </w:r>
      <w:r>
        <w:rPr/>
        <w:t>TMDL</w:t>
      </w:r>
    </w:p>
    <w:p>
      <w:pPr>
        <w:pStyle w:val="BodyText"/>
        <w:ind w:left="1100" w:right="1028"/>
      </w:pPr>
      <w:r>
        <w:rPr/>
        <w:t>The Machado Lake Trash TMDL, included in Chapter 7-26 of the Basin Plan, became effective on March 6, 2008. The TMDL assigns a WLA equal to zero trash to MS4 permittees and any additional responsible jurisdictions in the future under Phase 2 of the US EPA Stormwater Permitting Program, or other applicable regulatory programs. WLAs may be attained through the implementation of certified full capture systems. The WLAs apply as of March 6, 2016.</w:t>
      </w:r>
    </w:p>
    <w:p>
      <w:pPr>
        <w:pStyle w:val="BodyText"/>
        <w:spacing w:before="10"/>
        <w:rPr>
          <w:sz w:val="20"/>
        </w:rPr>
      </w:pPr>
    </w:p>
    <w:p>
      <w:pPr>
        <w:pStyle w:val="ListParagraph"/>
        <w:numPr>
          <w:ilvl w:val="2"/>
          <w:numId w:val="30"/>
        </w:numPr>
        <w:tabs>
          <w:tab w:pos="1101" w:val="left" w:leader="none"/>
        </w:tabs>
        <w:spacing w:line="240" w:lineRule="auto" w:before="0" w:after="0"/>
        <w:ind w:left="1100" w:right="1181" w:hanging="821"/>
        <w:jc w:val="left"/>
        <w:rPr>
          <w:sz w:val="24"/>
        </w:rPr>
      </w:pPr>
      <w:r>
        <w:rPr>
          <w:b/>
          <w:sz w:val="24"/>
        </w:rPr>
        <w:t>Machado Lake Eutrophic, Algae, Ammonia, and Odors (Nutrient) TMDL </w:t>
      </w:r>
      <w:r>
        <w:rPr>
          <w:sz w:val="24"/>
        </w:rPr>
        <w:t>The Machado Lake Nutrient TMDL, included in Chapter 7-29 of the Basin</w:t>
      </w:r>
      <w:r>
        <w:rPr>
          <w:spacing w:val="-47"/>
          <w:sz w:val="24"/>
        </w:rPr>
        <w:t> </w:t>
      </w:r>
      <w:r>
        <w:rPr>
          <w:sz w:val="24"/>
        </w:rPr>
        <w:t>Plan, became effective on March 11, 2009. The TMDL assigns WLAs to stormwater dischargers (MS4, Caltrans, general construction, and general industrial dischargers). The final WLAs apply as of September 11,</w:t>
      </w:r>
      <w:r>
        <w:rPr>
          <w:spacing w:val="-7"/>
          <w:sz w:val="24"/>
        </w:rPr>
        <w:t> </w:t>
      </w:r>
      <w:r>
        <w:rPr>
          <w:sz w:val="24"/>
        </w:rPr>
        <w:t>2018.</w:t>
      </w:r>
    </w:p>
    <w:p>
      <w:pPr>
        <w:spacing w:after="0" w:line="240" w:lineRule="auto"/>
        <w:jc w:val="left"/>
        <w:rPr>
          <w:sz w:val="24"/>
        </w:rPr>
        <w:sectPr>
          <w:pgSz w:w="12240" w:h="15840"/>
          <w:pgMar w:header="728" w:footer="788" w:top="1540" w:bottom="980" w:left="1160" w:right="420"/>
        </w:sectPr>
      </w:pPr>
    </w:p>
    <w:p>
      <w:pPr>
        <w:pStyle w:val="BodyText"/>
        <w:spacing w:before="11"/>
        <w:rPr>
          <w:sz w:val="15"/>
        </w:rPr>
      </w:pPr>
    </w:p>
    <w:p>
      <w:pPr>
        <w:pStyle w:val="Heading1"/>
        <w:numPr>
          <w:ilvl w:val="2"/>
          <w:numId w:val="30"/>
        </w:numPr>
        <w:tabs>
          <w:tab w:pos="1101" w:val="left" w:leader="none"/>
        </w:tabs>
        <w:spacing w:line="240" w:lineRule="auto" w:before="92" w:after="0"/>
        <w:ind w:left="1100" w:right="0" w:hanging="821"/>
        <w:jc w:val="left"/>
      </w:pPr>
      <w:r>
        <w:rPr/>
        <w:t>Machado Lake Pesticides and PCBs</w:t>
      </w:r>
      <w:r>
        <w:rPr>
          <w:spacing w:val="-2"/>
        </w:rPr>
        <w:t> </w:t>
      </w:r>
      <w:r>
        <w:rPr/>
        <w:t>TMDL</w:t>
      </w:r>
    </w:p>
    <w:p>
      <w:pPr>
        <w:pStyle w:val="BodyText"/>
        <w:ind w:left="1100" w:right="1122"/>
      </w:pPr>
      <w:r>
        <w:rPr/>
        <w:t>The Machado Lake Pesticides and PCBs TMDL, included as Chapter 7-38 in the Basin Plan, became effective on March 12, 2012. The TMDL assigns WLAs to stormwater dischargers (MS4, Caltrans, general construction, and general industrial dischargers). The WLAs are for PCBs, Total DDT, chlordane, and dieldrin, with a 3-year averaging period. The final WLAs apply as of September 30, 2019.</w:t>
      </w:r>
    </w:p>
    <w:p>
      <w:pPr>
        <w:pStyle w:val="BodyText"/>
        <w:spacing w:before="10"/>
        <w:rPr>
          <w:sz w:val="20"/>
        </w:rPr>
      </w:pPr>
    </w:p>
    <w:p>
      <w:pPr>
        <w:pStyle w:val="Heading1"/>
        <w:numPr>
          <w:ilvl w:val="2"/>
          <w:numId w:val="30"/>
        </w:numPr>
        <w:tabs>
          <w:tab w:pos="1101" w:val="left" w:leader="none"/>
        </w:tabs>
        <w:spacing w:line="240" w:lineRule="auto" w:before="0" w:after="0"/>
        <w:ind w:left="1100" w:right="0" w:hanging="821"/>
        <w:jc w:val="left"/>
      </w:pPr>
      <w:r>
        <w:rPr/>
        <w:t>Los Cerritos Channel Metals</w:t>
      </w:r>
      <w:r>
        <w:rPr>
          <w:spacing w:val="-1"/>
        </w:rPr>
        <w:t> </w:t>
      </w:r>
      <w:r>
        <w:rPr/>
        <w:t>TMDL</w:t>
      </w:r>
    </w:p>
    <w:p>
      <w:pPr>
        <w:pStyle w:val="BodyText"/>
        <w:ind w:left="1100" w:right="1166"/>
      </w:pPr>
      <w:r>
        <w:rPr/>
        <w:t>The Los Cerritos Channel TMDL for Metals was adopted by U.S. EPA and became effective on March 17, 2010. The TMDL assigns mass-based WLAs to stormwater permittees (Los Angeles County MS4, City of Long Beach MS4, Caltrans, industrial general permit, and construction general permit) and concentration-based WLAs to existing and future minor NPDES permittees and general non-stormwater NPDES permittees. The Los Angeles Water Board adopted an implementation plan for the TMDL, which became effective on October 13, 2014, and is included as Chapter 7-32 in the Basin Plan. The implementation plan requires that the final WLAs for general industrial and construction stormwater permits apply on September 30, 2017, the final WLAs for MS4 and Caltrans permits apply on September 30, 2026, and the WLAs for non-stormwater NPDES permits apply upon permit issuance, renewal, or reopener.</w:t>
      </w:r>
    </w:p>
    <w:p>
      <w:pPr>
        <w:pStyle w:val="BodyText"/>
        <w:spacing w:before="9"/>
        <w:rPr>
          <w:sz w:val="20"/>
        </w:rPr>
      </w:pPr>
    </w:p>
    <w:p>
      <w:pPr>
        <w:pStyle w:val="Heading1"/>
        <w:numPr>
          <w:ilvl w:val="2"/>
          <w:numId w:val="30"/>
        </w:numPr>
        <w:tabs>
          <w:tab w:pos="1101" w:val="left" w:leader="none"/>
        </w:tabs>
        <w:spacing w:line="240" w:lineRule="auto" w:before="1" w:after="0"/>
        <w:ind w:left="1100" w:right="0" w:hanging="821"/>
        <w:jc w:val="left"/>
      </w:pPr>
      <w:r>
        <w:rPr/>
        <w:t>Los Cerritos Channel Bacteria</w:t>
      </w:r>
      <w:r>
        <w:rPr>
          <w:spacing w:val="-2"/>
        </w:rPr>
        <w:t> </w:t>
      </w:r>
      <w:r>
        <w:rPr/>
        <w:t>TMDL</w:t>
      </w:r>
    </w:p>
    <w:p>
      <w:pPr>
        <w:pStyle w:val="BodyText"/>
        <w:ind w:left="1100" w:right="1403"/>
      </w:pPr>
      <w:r>
        <w:rPr/>
        <w:t>The Los Cerritos Channel and Estuary, Alamitos Bay, and Colorado Lagoon Indicator Bacteria TMDL, included as Chapter 7-44 in the Basin Plan, was adopted by the Los Angeles Water Board on March 10, 2022. The TMDL will become effective upon approval by the State Water Board, Office of Administrative Law, and U.S. EPA. The TMDL assigns WLAs for </w:t>
      </w:r>
      <w:r>
        <w:rPr>
          <w:i/>
        </w:rPr>
        <w:t>E. coli </w:t>
      </w:r>
      <w:r>
        <w:rPr/>
        <w:t>and </w:t>
      </w:r>
      <w:r>
        <w:rPr>
          <w:i/>
        </w:rPr>
        <w:t>Enterococcus </w:t>
      </w:r>
      <w:r>
        <w:rPr/>
        <w:t>to any future enrollees under the Phase II MS4 permit, an individual NPDES permit, a general NPDES permit, the general industrial stormwater permit, or the general construction stormwater permit. The WLAs are assigned as a geometric mean and a statistical threshold value (STV).</w:t>
      </w:r>
    </w:p>
    <w:p>
      <w:pPr>
        <w:pStyle w:val="BodyText"/>
        <w:ind w:left="1100" w:right="1281"/>
      </w:pPr>
      <w:r>
        <w:rPr/>
        <w:t>However, if it is not possible to calculate a geometric mean due to lack of sufficient data, then attainment of the WLAs shall be determined based on the STV.</w:t>
      </w:r>
    </w:p>
    <w:p>
      <w:pPr>
        <w:pStyle w:val="BodyText"/>
        <w:spacing w:before="10"/>
        <w:rPr>
          <w:sz w:val="20"/>
        </w:rPr>
      </w:pPr>
    </w:p>
    <w:p>
      <w:pPr>
        <w:pStyle w:val="Heading1"/>
        <w:numPr>
          <w:ilvl w:val="2"/>
          <w:numId w:val="30"/>
        </w:numPr>
        <w:tabs>
          <w:tab w:pos="1101" w:val="left" w:leader="none"/>
        </w:tabs>
        <w:spacing w:line="240" w:lineRule="auto" w:before="0" w:after="0"/>
        <w:ind w:left="1100" w:right="1890" w:hanging="821"/>
        <w:jc w:val="left"/>
      </w:pPr>
      <w:r>
        <w:rPr/>
        <w:t>Colorado Lagoon Organochlorine (OC) Pesticides, PCBs, Sediment Toxicity, and Metals</w:t>
      </w:r>
      <w:r>
        <w:rPr>
          <w:spacing w:val="-1"/>
        </w:rPr>
        <w:t> </w:t>
      </w:r>
      <w:r>
        <w:rPr/>
        <w:t>TMDL</w:t>
      </w:r>
    </w:p>
    <w:p>
      <w:pPr>
        <w:pStyle w:val="BodyText"/>
        <w:ind w:left="1100" w:right="1002"/>
      </w:pPr>
      <w:r>
        <w:rPr/>
        <w:t>The Colorado Lagoon TMDL, included as Chapter 7-30 in the Basin Plan, became effective on July 28, 2011. The TMDL assigns mass-based WLAs to the five major storm drain outfalls that currently discharge to the lagoon Long Beach MS4 and Caltrans. The TMDL assigns concentration-based waste load allocations to minor NPDES permits, other stormwater, and non-stormwater permittees. Any future minor NPDES permits or enrollees under a general non-</w:t>
      </w:r>
    </w:p>
    <w:p>
      <w:pPr>
        <w:spacing w:after="0"/>
        <w:sectPr>
          <w:pgSz w:w="12240" w:h="15840"/>
          <w:pgMar w:header="728" w:footer="788" w:top="1540" w:bottom="980" w:left="1160" w:right="420"/>
        </w:sectPr>
      </w:pPr>
    </w:p>
    <w:p>
      <w:pPr>
        <w:pStyle w:val="BodyText"/>
        <w:spacing w:before="11"/>
        <w:rPr>
          <w:sz w:val="15"/>
        </w:rPr>
      </w:pPr>
    </w:p>
    <w:p>
      <w:pPr>
        <w:pStyle w:val="BodyText"/>
        <w:spacing w:before="92"/>
        <w:ind w:left="1100" w:right="1122"/>
      </w:pPr>
      <w:r>
        <w:rPr/>
        <w:t>stormwater NPDES permit, general industrial stormwater permit or general construction permit will also be subject to the concentration-based waste load allocations. The WLAs are for PCBs, PAHs, DDT, chlordane, dieldrin, lead, and zinc. The WLAs apply as of July 28, 2018.</w:t>
      </w:r>
    </w:p>
    <w:p>
      <w:pPr>
        <w:pStyle w:val="BodyText"/>
        <w:spacing w:before="10"/>
        <w:rPr>
          <w:sz w:val="20"/>
        </w:rPr>
      </w:pPr>
    </w:p>
    <w:p>
      <w:pPr>
        <w:pStyle w:val="Heading1"/>
        <w:numPr>
          <w:ilvl w:val="1"/>
          <w:numId w:val="30"/>
        </w:numPr>
        <w:tabs>
          <w:tab w:pos="871" w:val="left" w:leader="none"/>
        </w:tabs>
        <w:spacing w:line="240" w:lineRule="auto" w:before="0" w:after="0"/>
        <w:ind w:left="870" w:right="0" w:hanging="592"/>
        <w:jc w:val="left"/>
      </w:pPr>
      <w:r>
        <w:rPr/>
        <w:t>Endangered Species Act</w:t>
      </w:r>
      <w:r>
        <w:rPr>
          <w:spacing w:val="-2"/>
        </w:rPr>
        <w:t> </w:t>
      </w:r>
      <w:r>
        <w:rPr/>
        <w:t>Requirements.</w:t>
      </w:r>
    </w:p>
    <w:p>
      <w:pPr>
        <w:pStyle w:val="BodyText"/>
        <w:rPr>
          <w:b/>
        </w:rPr>
      </w:pPr>
    </w:p>
    <w:p>
      <w:pPr>
        <w:pStyle w:val="BodyText"/>
        <w:ind w:left="870" w:right="1077"/>
      </w:pPr>
      <w:r>
        <w:rPr/>
        <w:t>This Order does not authorize an act that results in the taking of a threatened or endangered species or any act that is now prohibited, or becomes prohibited in the future, under either the California Endangered Species Act (Fish and Game Code sections 2050 to 2097) or the Federal Endangered Species Act (16 USCA sections 1531 to 1544). This Order requires compliance with receiving water limits and other requirements to protect beneficial uses. The Discharger is responsible for meeting all requirements of the applicable Endangered Species Act.</w:t>
      </w:r>
    </w:p>
    <w:p>
      <w:pPr>
        <w:pStyle w:val="BodyText"/>
        <w:spacing w:before="10"/>
        <w:rPr>
          <w:sz w:val="20"/>
        </w:rPr>
      </w:pPr>
    </w:p>
    <w:p>
      <w:pPr>
        <w:pStyle w:val="Heading1"/>
        <w:numPr>
          <w:ilvl w:val="1"/>
          <w:numId w:val="30"/>
        </w:numPr>
        <w:tabs>
          <w:tab w:pos="871" w:val="left" w:leader="none"/>
        </w:tabs>
        <w:spacing w:line="240" w:lineRule="auto" w:before="1" w:after="0"/>
        <w:ind w:left="870" w:right="0" w:hanging="591"/>
        <w:jc w:val="left"/>
      </w:pPr>
      <w:r>
        <w:rPr/>
        <w:t>NPDES Electronic Reporting Rule</w:t>
      </w:r>
      <w:r>
        <w:rPr>
          <w:spacing w:val="-2"/>
        </w:rPr>
        <w:t> </w:t>
      </w:r>
      <w:r>
        <w:rPr/>
        <w:t>(e-Rule).</w:t>
      </w:r>
    </w:p>
    <w:p>
      <w:pPr>
        <w:pStyle w:val="BodyText"/>
        <w:spacing w:before="11"/>
        <w:rPr>
          <w:b/>
          <w:sz w:val="23"/>
        </w:rPr>
      </w:pPr>
    </w:p>
    <w:p>
      <w:pPr>
        <w:pStyle w:val="BodyText"/>
        <w:ind w:left="870" w:right="1019"/>
      </w:pPr>
      <w:r>
        <w:rPr/>
        <w:t>Part 127 of 40 CFR requires NPDES permittees to electronically report information and also requires authorized states implementing the NPDES program to ensure that the required minimum set of data in 40 CFR part 127, Appendix A, is electronically transferred to USEPA in a “timely, accurate, complete and nationally consistent manner fully compatible with USEPA’s national NPDES data system.” The rule does not add new reporting requirements on NPDES regulated entities; rather it substitutes paper-based filings with electronic transmission.</w:t>
      </w:r>
    </w:p>
    <w:p>
      <w:pPr>
        <w:pStyle w:val="BodyText"/>
        <w:spacing w:before="9"/>
        <w:rPr>
          <w:sz w:val="20"/>
        </w:rPr>
      </w:pPr>
    </w:p>
    <w:p>
      <w:pPr>
        <w:pStyle w:val="Heading1"/>
        <w:numPr>
          <w:ilvl w:val="1"/>
          <w:numId w:val="30"/>
        </w:numPr>
        <w:tabs>
          <w:tab w:pos="871" w:val="left" w:leader="none"/>
        </w:tabs>
        <w:spacing w:line="240" w:lineRule="auto" w:before="0" w:after="0"/>
        <w:ind w:left="870" w:right="0" w:hanging="591"/>
        <w:jc w:val="left"/>
      </w:pPr>
      <w:r>
        <w:rPr/>
        <w:t>Advancing Measures to Mitigate and Adapt to Climate</w:t>
      </w:r>
      <w:r>
        <w:rPr>
          <w:spacing w:val="-7"/>
        </w:rPr>
        <w:t> </w:t>
      </w:r>
      <w:r>
        <w:rPr/>
        <w:t>Change.</w:t>
      </w:r>
    </w:p>
    <w:p>
      <w:pPr>
        <w:pStyle w:val="BodyText"/>
        <w:rPr>
          <w:b/>
        </w:rPr>
      </w:pPr>
    </w:p>
    <w:p>
      <w:pPr>
        <w:pStyle w:val="BodyText"/>
        <w:ind w:left="870" w:right="1271"/>
      </w:pPr>
      <w:r>
        <w:rPr/>
        <w:t>The predicted impacts of climate change in Southern California include an increase in temperatures, heightened frequency of extreme weather conditions including extreme precipitation events and drought, along with sea level rise. At the local scale, within urbanized areas, these changes may directly impact groundwater and surface water supply; drainage, flooding, and erosion patterns; economically distressed communities; and ecosystems and habitat.</w:t>
      </w:r>
    </w:p>
    <w:p>
      <w:pPr>
        <w:pStyle w:val="BodyText"/>
      </w:pPr>
    </w:p>
    <w:p>
      <w:pPr>
        <w:pStyle w:val="BodyText"/>
        <w:ind w:left="870" w:right="1048"/>
      </w:pPr>
      <w:r>
        <w:rPr/>
        <w:t>In recognition of the challenges posed by climate change, the State Water Board adopted on March 7, 2017, a resolution that requires a proactive approach to climate change in all State Water Board actions, including drinking water regulation, water quality protection, and financial assistance (Resolution No. 2017- 0012). In conjunction with the State Water Board’s Resolution, the Los Angeles Water Board adopted “A Resolution to Prioritize Actions to Adapt to and Mitigate the Impacts of Climate Change on the Los Angeles Region’s Water Resources and Associated Beneficial Uses” (Resolution No. R18-004) on May 10, 2018. The resolution lists potential regulatory adaptation and mitigation measures that could be implemented on a short-term and long-term basis by each of the Los Angeles Water Board’s programs to take into account, and assist in mitigating</w:t>
      </w:r>
      <w:r>
        <w:rPr>
          <w:spacing w:val="-24"/>
        </w:rPr>
        <w:t> </w:t>
      </w:r>
      <w:r>
        <w:rPr/>
        <w:t>where</w:t>
      </w:r>
    </w:p>
    <w:p>
      <w:pPr>
        <w:spacing w:after="0"/>
        <w:sectPr>
          <w:pgSz w:w="12240" w:h="15840"/>
          <w:pgMar w:header="728" w:footer="788" w:top="1540" w:bottom="980" w:left="1160" w:right="420"/>
        </w:sectPr>
      </w:pPr>
    </w:p>
    <w:p>
      <w:pPr>
        <w:pStyle w:val="BodyText"/>
        <w:spacing w:before="11"/>
        <w:rPr>
          <w:sz w:val="15"/>
        </w:rPr>
      </w:pPr>
    </w:p>
    <w:p>
      <w:pPr>
        <w:pStyle w:val="BodyText"/>
        <w:spacing w:before="92"/>
        <w:ind w:left="870" w:right="1025"/>
      </w:pPr>
      <w:r>
        <w:rPr/>
        <w:t>possible, the effects of climate change on water resources and associated beneficial uses. In addition, Executive Order N-10-19, signed on April 29, 2019, directs the California Natural Resources Agency (CNRA), the California Environmental Protection Agency (CalEPA), and the California Department of Food and Agriculture (CDFA) to prepare a water resilience portfolio that meets the needs of California’s communities, economy, and environment, and expand and/or reassess the priorities in the California Water Action Plan. The order directs agencies to prioritize multi-benefit approaches, natural infrastructure, innovation and new technologies, regional approaches, integration across state government, and partnerships across governments.</w:t>
      </w:r>
    </w:p>
    <w:p>
      <w:pPr>
        <w:pStyle w:val="BodyText"/>
      </w:pPr>
    </w:p>
    <w:p>
      <w:pPr>
        <w:pStyle w:val="BodyText"/>
        <w:ind w:left="870" w:right="1025"/>
      </w:pPr>
      <w:r>
        <w:rPr/>
        <w:t>The Order follows the guiding principles of the State and Los Angeles Water Boards resolutions (No. 2017-0012 and No. R18-004) as well as Executive Order N-10-19 by contributing to an adaptive climate change and water resilience strategy. Through compliance options that encourage onsite and off-site infiltration and reuse projects, stormwater and non-stormwater runoff can be captured, infiltrated, and used to mitigate periodic drought conditions, reduce flood hazards and erosion rates, and recharge depleted groundwater aquifers and other water supply sources, all while reducing pollutant loads, maintaining beneficial uses in receiving waters and improving community health.</w:t>
      </w:r>
    </w:p>
    <w:p>
      <w:pPr>
        <w:pStyle w:val="BodyText"/>
        <w:spacing w:before="11"/>
        <w:rPr>
          <w:sz w:val="20"/>
        </w:rPr>
      </w:pPr>
    </w:p>
    <w:p>
      <w:pPr>
        <w:pStyle w:val="Heading1"/>
        <w:numPr>
          <w:ilvl w:val="1"/>
          <w:numId w:val="30"/>
        </w:numPr>
        <w:tabs>
          <w:tab w:pos="871" w:val="left" w:leader="none"/>
        </w:tabs>
        <w:spacing w:line="240" w:lineRule="auto" w:before="0" w:after="0"/>
        <w:ind w:left="870" w:right="0" w:hanging="592"/>
        <w:jc w:val="left"/>
      </w:pPr>
      <w:r>
        <w:rPr/>
        <w:t>Advancing Racial</w:t>
      </w:r>
      <w:r>
        <w:rPr>
          <w:spacing w:val="-1"/>
        </w:rPr>
        <w:t> </w:t>
      </w:r>
      <w:r>
        <w:rPr/>
        <w:t>Equity.</w:t>
      </w:r>
    </w:p>
    <w:p>
      <w:pPr>
        <w:pStyle w:val="BodyText"/>
        <w:spacing w:before="10"/>
        <w:rPr>
          <w:b/>
          <w:sz w:val="23"/>
        </w:rPr>
      </w:pPr>
    </w:p>
    <w:p>
      <w:pPr>
        <w:pStyle w:val="BodyText"/>
        <w:ind w:left="870" w:right="1018"/>
      </w:pPr>
      <w:r>
        <w:rPr/>
        <w:t>In accordance with the Water Boards’ Racial Equity Initiative, formally launched on August 18, 2020, the Order requires all Permittees to meet water quality standards to protect public health and the environment, thereby benefitting all persons and communities within the Region. The Los Angeles Water Board is committed to developing and implementing policies and programs to advance racial equity and environmental justice so that race can no longer be used to predict life outcomes, and outcomes for all groups are improved.</w:t>
      </w:r>
    </w:p>
    <w:p>
      <w:pPr>
        <w:pStyle w:val="BodyText"/>
        <w:spacing w:before="10"/>
        <w:rPr>
          <w:sz w:val="20"/>
        </w:rPr>
      </w:pPr>
    </w:p>
    <w:p>
      <w:pPr>
        <w:pStyle w:val="Heading1"/>
        <w:numPr>
          <w:ilvl w:val="1"/>
          <w:numId w:val="30"/>
        </w:numPr>
        <w:tabs>
          <w:tab w:pos="871" w:val="left" w:leader="none"/>
        </w:tabs>
        <w:spacing w:line="240" w:lineRule="auto" w:before="0" w:after="0"/>
        <w:ind w:left="870" w:right="0" w:hanging="592"/>
        <w:jc w:val="left"/>
      </w:pPr>
      <w:r>
        <w:rPr/>
        <w:t>Other Plans, Policies and</w:t>
      </w:r>
      <w:r>
        <w:rPr>
          <w:spacing w:val="-2"/>
        </w:rPr>
        <w:t> </w:t>
      </w:r>
      <w:r>
        <w:rPr/>
        <w:t>Regulations.</w:t>
      </w:r>
    </w:p>
    <w:p>
      <w:pPr>
        <w:pStyle w:val="BodyText"/>
        <w:rPr>
          <w:b/>
        </w:rPr>
      </w:pPr>
    </w:p>
    <w:p>
      <w:pPr>
        <w:pStyle w:val="BodyText"/>
        <w:ind w:left="870" w:right="1471"/>
      </w:pPr>
      <w:r>
        <w:rPr/>
        <w:t>The Order implements all other applicable federal regulations and State plans, policies, and regulations.</w:t>
      </w:r>
    </w:p>
    <w:p>
      <w:pPr>
        <w:pStyle w:val="BodyText"/>
        <w:spacing w:before="10"/>
        <w:rPr>
          <w:sz w:val="20"/>
        </w:rPr>
      </w:pPr>
    </w:p>
    <w:p>
      <w:pPr>
        <w:pStyle w:val="Heading1"/>
        <w:numPr>
          <w:ilvl w:val="0"/>
          <w:numId w:val="30"/>
        </w:numPr>
        <w:tabs>
          <w:tab w:pos="640" w:val="left" w:leader="none"/>
        </w:tabs>
        <w:spacing w:line="240" w:lineRule="auto" w:before="0" w:after="0"/>
        <w:ind w:left="639" w:right="0" w:hanging="361"/>
        <w:jc w:val="left"/>
      </w:pPr>
      <w:r>
        <w:rPr/>
        <w:t>RATIONALE FOR REQUIREMENTS IN THIS GENERAL</w:t>
      </w:r>
      <w:r>
        <w:rPr>
          <w:spacing w:val="-3"/>
        </w:rPr>
        <w:t> </w:t>
      </w:r>
      <w:r>
        <w:rPr/>
        <w:t>PERMIT.</w:t>
      </w:r>
    </w:p>
    <w:p>
      <w:pPr>
        <w:pStyle w:val="BodyText"/>
        <w:spacing w:before="10"/>
        <w:rPr>
          <w:b/>
          <w:sz w:val="20"/>
        </w:rPr>
      </w:pPr>
    </w:p>
    <w:p>
      <w:pPr>
        <w:pStyle w:val="ListParagraph"/>
        <w:numPr>
          <w:ilvl w:val="1"/>
          <w:numId w:val="30"/>
        </w:numPr>
        <w:tabs>
          <w:tab w:pos="871" w:val="left" w:leader="none"/>
        </w:tabs>
        <w:spacing w:line="240" w:lineRule="auto" w:before="0" w:after="0"/>
        <w:ind w:left="870" w:right="0" w:hanging="592"/>
        <w:jc w:val="left"/>
        <w:rPr>
          <w:b/>
          <w:sz w:val="24"/>
        </w:rPr>
      </w:pPr>
      <w:r>
        <w:rPr>
          <w:b/>
          <w:sz w:val="24"/>
        </w:rPr>
        <w:t>General Permit Issuance.</w:t>
      </w:r>
    </w:p>
    <w:p>
      <w:pPr>
        <w:pStyle w:val="BodyText"/>
        <w:rPr>
          <w:b/>
        </w:rPr>
      </w:pPr>
    </w:p>
    <w:p>
      <w:pPr>
        <w:pStyle w:val="BodyText"/>
        <w:ind w:left="870" w:right="1058"/>
      </w:pPr>
      <w:r>
        <w:rPr/>
        <w:t>Concurrent with USEPA’s designation, the Los Angeles Water Board, pursuant to 40 CFR section 122.26(a)(9)(i)(C) and (D), is issuing this General Permit for applicable CII facilities. 40 CFR section 122.28(a)(1)(vii) allows a General Permit to issue that covers one or more categories or subcategories of discharges in an area that corresponds with existing geographic or political boundaries, or any other</w:t>
      </w:r>
      <w:r>
        <w:rPr>
          <w:spacing w:val="-7"/>
        </w:rPr>
        <w:t> </w:t>
      </w:r>
      <w:r>
        <w:rPr/>
        <w:t>appropriate</w:t>
      </w:r>
      <w:r>
        <w:rPr>
          <w:spacing w:val="-6"/>
        </w:rPr>
        <w:t> </w:t>
      </w:r>
      <w:r>
        <w:rPr/>
        <w:t>division</w:t>
      </w:r>
      <w:r>
        <w:rPr>
          <w:spacing w:val="-6"/>
        </w:rPr>
        <w:t> </w:t>
      </w:r>
      <w:r>
        <w:rPr/>
        <w:t>or</w:t>
      </w:r>
      <w:r>
        <w:rPr>
          <w:spacing w:val="-6"/>
        </w:rPr>
        <w:t> </w:t>
      </w:r>
      <w:r>
        <w:rPr/>
        <w:t>combination</w:t>
      </w:r>
      <w:r>
        <w:rPr>
          <w:spacing w:val="-7"/>
        </w:rPr>
        <w:t> </w:t>
      </w:r>
      <w:r>
        <w:rPr/>
        <w:t>of</w:t>
      </w:r>
      <w:r>
        <w:rPr>
          <w:spacing w:val="-6"/>
        </w:rPr>
        <w:t> </w:t>
      </w:r>
      <w:r>
        <w:rPr/>
        <w:t>boundaries.</w:t>
      </w:r>
      <w:r>
        <w:rPr>
          <w:spacing w:val="-6"/>
        </w:rPr>
        <w:t> </w:t>
      </w:r>
      <w:r>
        <w:rPr/>
        <w:t>The</w:t>
      </w:r>
      <w:r>
        <w:rPr>
          <w:spacing w:val="-6"/>
        </w:rPr>
        <w:t> </w:t>
      </w:r>
      <w:r>
        <w:rPr/>
        <w:t>Los</w:t>
      </w:r>
      <w:r>
        <w:rPr>
          <w:spacing w:val="-7"/>
        </w:rPr>
        <w:t> </w:t>
      </w:r>
      <w:r>
        <w:rPr/>
        <w:t>Cerritos/Alamitos</w:t>
      </w:r>
    </w:p>
    <w:p>
      <w:pPr>
        <w:spacing w:after="0"/>
        <w:sectPr>
          <w:pgSz w:w="12240" w:h="15840"/>
          <w:pgMar w:header="728" w:footer="788" w:top="1540" w:bottom="980" w:left="1160" w:right="420"/>
        </w:sectPr>
      </w:pPr>
    </w:p>
    <w:p>
      <w:pPr>
        <w:pStyle w:val="BodyText"/>
        <w:spacing w:before="11"/>
        <w:rPr>
          <w:sz w:val="15"/>
        </w:rPr>
      </w:pPr>
    </w:p>
    <w:p>
      <w:pPr>
        <w:pStyle w:val="BodyText"/>
        <w:spacing w:before="92"/>
        <w:ind w:left="870" w:right="1697"/>
      </w:pPr>
      <w:r>
        <w:rPr/>
        <w:t>Bay and Dominguez Channel/Inner and Outer Los Angeles and Long Beach Harbors watersheds are two such appropriate divisions and boundaries.</w:t>
      </w:r>
    </w:p>
    <w:p>
      <w:pPr>
        <w:pStyle w:val="BodyText"/>
      </w:pPr>
    </w:p>
    <w:p>
      <w:pPr>
        <w:pStyle w:val="BodyText"/>
        <w:ind w:left="870" w:right="1178"/>
      </w:pPr>
      <w:r>
        <w:rPr/>
        <w:t>Section 122.28(a)(2)(i) of 40 CFR provides for issuance of general NPDES permits to regulate stormwater point sources. Section 122.28(a)(2)(ii) pertains to point sources other than stormwater point sources. General NPDES permits enable the Los Angeles Water Board to expedite the processing of requirements, simplify the application process for Dischargers, better utilize limited staff resources, and avoid the expense and time involved in repetitive public noticing, hearings, and permit adoptions.</w:t>
      </w:r>
    </w:p>
    <w:p>
      <w:pPr>
        <w:pStyle w:val="BodyText"/>
      </w:pPr>
    </w:p>
    <w:p>
      <w:pPr>
        <w:pStyle w:val="BodyText"/>
        <w:ind w:left="870" w:right="1032"/>
      </w:pPr>
      <w:r>
        <w:rPr/>
        <w:t>In accordance with 40 CFR section 123.25, the Los Angeles Water Board must meet general program requirements prior to the re-issuance and adoption of a general NPDES permit. General program requirements include preparing the draft General NPDES Permit, public noticing, allowing a public comment period, and conducting a public hearing. To meet these requirements, the Los Angeles Water Board prepared a draft General Permit. The draft General Permit was sent to interested parties on &lt;DATE&gt; for comments. A public hearing to receive testimony from interested parties was scheduled for &lt;DATE&gt;. The Notice of Public Hearing was sent to the interested party list at the same time as the draft General Permit.</w:t>
      </w:r>
    </w:p>
    <w:p>
      <w:pPr>
        <w:pStyle w:val="BodyText"/>
        <w:spacing w:before="11"/>
        <w:rPr>
          <w:sz w:val="20"/>
        </w:rPr>
      </w:pPr>
    </w:p>
    <w:p>
      <w:pPr>
        <w:pStyle w:val="Heading1"/>
        <w:numPr>
          <w:ilvl w:val="1"/>
          <w:numId w:val="30"/>
        </w:numPr>
        <w:tabs>
          <w:tab w:pos="871" w:val="left" w:leader="none"/>
        </w:tabs>
        <w:spacing w:line="240" w:lineRule="auto" w:before="0" w:after="0"/>
        <w:ind w:left="870" w:right="0" w:hanging="591"/>
        <w:jc w:val="left"/>
      </w:pPr>
      <w:r>
        <w:rPr/>
        <w:t>General Permit Coverage</w:t>
      </w:r>
      <w:r>
        <w:rPr>
          <w:spacing w:val="-1"/>
        </w:rPr>
        <w:t> </w:t>
      </w:r>
      <w:r>
        <w:rPr/>
        <w:t>Requirements.</w:t>
      </w:r>
    </w:p>
    <w:p>
      <w:pPr>
        <w:pStyle w:val="BodyText"/>
        <w:spacing w:before="10"/>
        <w:rPr>
          <w:b/>
          <w:sz w:val="23"/>
        </w:rPr>
      </w:pPr>
    </w:p>
    <w:p>
      <w:pPr>
        <w:pStyle w:val="BodyText"/>
        <w:ind w:left="870" w:right="1073"/>
      </w:pPr>
      <w:r>
        <w:rPr/>
        <w:t>This General Permit provides regulatory coverage for stormwater discharges and authorized NSWDs from unpermitted, privately owned commercial, industrial, and institutional (CII) facilities with greater than or equal to five (5) acres of impervious cover, excluding airports and permitted CII sites with five (5) or more acres of total area that have been directed by the Los Angeles Water Board to obtain coverage specifically under this General Permit per the authority in 40 CFR 122.26(a)(i)(C) and (D).</w:t>
      </w:r>
    </w:p>
    <w:p>
      <w:pPr>
        <w:pStyle w:val="BodyText"/>
        <w:spacing w:before="10"/>
        <w:rPr>
          <w:sz w:val="20"/>
        </w:rPr>
      </w:pPr>
    </w:p>
    <w:p>
      <w:pPr>
        <w:pStyle w:val="Heading1"/>
        <w:numPr>
          <w:ilvl w:val="2"/>
          <w:numId w:val="30"/>
        </w:numPr>
        <w:tabs>
          <w:tab w:pos="1100" w:val="left" w:leader="none"/>
          <w:tab w:pos="1101" w:val="left" w:leader="none"/>
        </w:tabs>
        <w:spacing w:line="240" w:lineRule="auto" w:before="0" w:after="0"/>
        <w:ind w:left="1100" w:right="0" w:hanging="822"/>
        <w:jc w:val="left"/>
      </w:pPr>
      <w:r>
        <w:rPr/>
        <w:t>Obtaining General Permit</w:t>
      </w:r>
      <w:r>
        <w:rPr>
          <w:spacing w:val="-1"/>
        </w:rPr>
        <w:t> </w:t>
      </w:r>
      <w:r>
        <w:rPr/>
        <w:t>Coverage.</w:t>
      </w:r>
    </w:p>
    <w:p>
      <w:pPr>
        <w:pStyle w:val="BodyText"/>
        <w:rPr>
          <w:b/>
        </w:rPr>
      </w:pPr>
    </w:p>
    <w:p>
      <w:pPr>
        <w:pStyle w:val="BodyText"/>
        <w:ind w:left="1100" w:right="1002"/>
      </w:pPr>
      <w:r>
        <w:rPr/>
        <w:t>The Los Angeles Water Board has utilized the SMARTS online database system to handle registration and reporting under this General Permit. More information regarding SMARTS and access to the database is available online at. The Los Angeles Water Board has determined that all documents related to enrollment and compliance must be certified and submitted via SMARTS by Dischargers.</w:t>
      </w:r>
    </w:p>
    <w:p>
      <w:pPr>
        <w:pStyle w:val="BodyText"/>
        <w:spacing w:before="10"/>
        <w:rPr>
          <w:sz w:val="20"/>
        </w:rPr>
      </w:pPr>
    </w:p>
    <w:p>
      <w:pPr>
        <w:pStyle w:val="ListParagraph"/>
        <w:numPr>
          <w:ilvl w:val="3"/>
          <w:numId w:val="30"/>
        </w:numPr>
        <w:tabs>
          <w:tab w:pos="1359" w:val="left" w:leader="none"/>
          <w:tab w:pos="1360" w:val="left" w:leader="none"/>
        </w:tabs>
        <w:spacing w:line="240" w:lineRule="auto" w:before="0" w:after="0"/>
        <w:ind w:left="1360" w:right="1281" w:hanging="1080"/>
        <w:jc w:val="left"/>
        <w:rPr>
          <w:sz w:val="24"/>
        </w:rPr>
      </w:pPr>
      <w:r>
        <w:rPr>
          <w:sz w:val="24"/>
        </w:rPr>
        <w:t>This General Permit requires all Dischargers to electronically certify and submit Permit Registration Documents via SMARTS to obtain regulatory coverage. The Los Angeles Water Board is estimating that 640</w:t>
      </w:r>
      <w:r>
        <w:rPr>
          <w:spacing w:val="-42"/>
          <w:sz w:val="24"/>
        </w:rPr>
        <w:t> </w:t>
      </w:r>
      <w:r>
        <w:rPr>
          <w:sz w:val="24"/>
        </w:rPr>
        <w:t>Dischargers may be registering for coverage under this General</w:t>
      </w:r>
      <w:r>
        <w:rPr>
          <w:spacing w:val="-7"/>
          <w:sz w:val="24"/>
        </w:rPr>
        <w:t> </w:t>
      </w:r>
      <w:r>
        <w:rPr>
          <w:sz w:val="24"/>
        </w:rPr>
        <w:t>Permit.</w:t>
      </w:r>
    </w:p>
    <w:p>
      <w:pPr>
        <w:pStyle w:val="BodyText"/>
        <w:spacing w:before="10"/>
        <w:rPr>
          <w:sz w:val="20"/>
        </w:rPr>
      </w:pPr>
    </w:p>
    <w:p>
      <w:pPr>
        <w:pStyle w:val="ListParagraph"/>
        <w:numPr>
          <w:ilvl w:val="3"/>
          <w:numId w:val="30"/>
        </w:numPr>
        <w:tabs>
          <w:tab w:pos="1358" w:val="left" w:leader="none"/>
          <w:tab w:pos="1359" w:val="left" w:leader="none"/>
        </w:tabs>
        <w:spacing w:line="240" w:lineRule="auto" w:before="1" w:after="0"/>
        <w:ind w:left="1360" w:right="1548" w:hanging="1080"/>
        <w:jc w:val="left"/>
        <w:rPr>
          <w:sz w:val="24"/>
        </w:rPr>
      </w:pPr>
      <w:r>
        <w:rPr>
          <w:sz w:val="24"/>
        </w:rPr>
        <w:t>Dischargers shall electronically certify and submit the Permit Registration Documents via SMARTS for each individual facility. This requirement</w:t>
      </w:r>
      <w:r>
        <w:rPr>
          <w:spacing w:val="-27"/>
          <w:sz w:val="24"/>
        </w:rPr>
        <w:t> </w:t>
      </w:r>
      <w:r>
        <w:rPr>
          <w:sz w:val="24"/>
        </w:rPr>
        <w:t>is</w:t>
      </w:r>
    </w:p>
    <w:p>
      <w:pPr>
        <w:spacing w:after="0" w:line="240" w:lineRule="auto"/>
        <w:jc w:val="left"/>
        <w:rPr>
          <w:sz w:val="24"/>
        </w:rPr>
        <w:sectPr>
          <w:pgSz w:w="12240" w:h="15840"/>
          <w:pgMar w:header="728" w:footer="788" w:top="1540" w:bottom="980" w:left="1160" w:right="420"/>
        </w:sectPr>
      </w:pPr>
    </w:p>
    <w:p>
      <w:pPr>
        <w:pStyle w:val="BodyText"/>
        <w:spacing w:before="11"/>
        <w:rPr>
          <w:sz w:val="15"/>
        </w:rPr>
      </w:pPr>
    </w:p>
    <w:p>
      <w:pPr>
        <w:pStyle w:val="BodyText"/>
        <w:spacing w:before="92"/>
        <w:ind w:left="1360" w:right="1035"/>
      </w:pPr>
      <w:r>
        <w:rPr/>
        <w:t>intended to establish a clear accounting of the name, address, and contact information for each Discharger, as well as a description of each Discharger’s facility.</w:t>
      </w:r>
    </w:p>
    <w:p>
      <w:pPr>
        <w:pStyle w:val="BodyText"/>
        <w:spacing w:before="10"/>
        <w:rPr>
          <w:sz w:val="20"/>
        </w:rPr>
      </w:pPr>
    </w:p>
    <w:p>
      <w:pPr>
        <w:pStyle w:val="Heading1"/>
        <w:numPr>
          <w:ilvl w:val="2"/>
          <w:numId w:val="30"/>
        </w:numPr>
        <w:tabs>
          <w:tab w:pos="1100" w:val="left" w:leader="none"/>
          <w:tab w:pos="1101" w:val="left" w:leader="none"/>
        </w:tabs>
        <w:spacing w:line="240" w:lineRule="auto" w:before="0" w:after="0"/>
        <w:ind w:left="1100" w:right="0" w:hanging="821"/>
        <w:jc w:val="left"/>
      </w:pPr>
      <w:r>
        <w:rPr/>
        <w:t>Changes to General Permit</w:t>
      </w:r>
      <w:r>
        <w:rPr>
          <w:spacing w:val="-1"/>
        </w:rPr>
        <w:t> </w:t>
      </w:r>
      <w:r>
        <w:rPr/>
        <w:t>Coverage.</w:t>
      </w:r>
    </w:p>
    <w:p>
      <w:pPr>
        <w:pStyle w:val="BodyText"/>
        <w:rPr>
          <w:b/>
        </w:rPr>
      </w:pPr>
    </w:p>
    <w:p>
      <w:pPr>
        <w:pStyle w:val="BodyText"/>
        <w:ind w:left="1100" w:right="1096"/>
      </w:pPr>
      <w:r>
        <w:rPr/>
        <w:t>Dischargers who no longer operate a facility required to be covered under this General Permit are required to electronically certify and submit via SMARTS a Notice of Termination (NOT). An NOT is required when there is a change in ownership of the activities subject to this General Permit or when such activities are permanently discontinued by the Discharger at the site. When terminating coverage, Dischargers may only submit an NOT once all exposure of commercial and/or industrial materials and equipment have been eliminated.</w:t>
      </w:r>
    </w:p>
    <w:p>
      <w:pPr>
        <w:pStyle w:val="BodyText"/>
        <w:spacing w:before="1"/>
        <w:ind w:left="1100"/>
      </w:pPr>
      <w:r>
        <w:rPr/>
        <w:t>Dischargers may not submit NOTs for temporary or seasonal facility closures.</w:t>
      </w:r>
    </w:p>
    <w:p>
      <w:pPr>
        <w:pStyle w:val="BodyText"/>
        <w:spacing w:before="9"/>
        <w:rPr>
          <w:sz w:val="20"/>
        </w:rPr>
      </w:pPr>
    </w:p>
    <w:p>
      <w:pPr>
        <w:pStyle w:val="Heading1"/>
        <w:numPr>
          <w:ilvl w:val="1"/>
          <w:numId w:val="30"/>
        </w:numPr>
        <w:tabs>
          <w:tab w:pos="871" w:val="left" w:leader="none"/>
        </w:tabs>
        <w:spacing w:line="240" w:lineRule="auto" w:before="1" w:after="0"/>
        <w:ind w:left="870" w:right="0" w:hanging="591"/>
        <w:jc w:val="left"/>
      </w:pPr>
      <w:r>
        <w:rPr/>
        <w:t>Discharge Prohibitions.</w:t>
      </w:r>
    </w:p>
    <w:p>
      <w:pPr>
        <w:pStyle w:val="BodyText"/>
        <w:spacing w:before="11"/>
        <w:rPr>
          <w:b/>
          <w:sz w:val="23"/>
        </w:rPr>
      </w:pPr>
    </w:p>
    <w:p>
      <w:pPr>
        <w:pStyle w:val="BodyText"/>
        <w:ind w:left="870" w:right="1072"/>
      </w:pPr>
      <w:r>
        <w:rPr/>
        <w:t>This General Permit covers stormwater discharges and authorized NSWDs as described in Table F-1 of this Fact Sheet and prohibits any discharge of materials other than stormwater and authorized NSWDs (section 5 of the Order). This includes any discharge of trash per the Trash Provisions. It is a violation of this General Permit to discharge hazardous substances in stormwater in excess of the reportable quantities established in 40 CFR sections 117.3 and 302.4.</w:t>
      </w:r>
    </w:p>
    <w:p>
      <w:pPr>
        <w:pStyle w:val="BodyText"/>
        <w:spacing w:before="9"/>
        <w:rPr>
          <w:sz w:val="20"/>
        </w:rPr>
      </w:pPr>
    </w:p>
    <w:p>
      <w:pPr>
        <w:pStyle w:val="Heading1"/>
        <w:numPr>
          <w:ilvl w:val="1"/>
          <w:numId w:val="30"/>
        </w:numPr>
        <w:tabs>
          <w:tab w:pos="871" w:val="left" w:leader="none"/>
        </w:tabs>
        <w:spacing w:line="240" w:lineRule="auto" w:before="0" w:after="0"/>
        <w:ind w:left="870" w:right="0" w:hanging="591"/>
        <w:jc w:val="left"/>
      </w:pPr>
      <w:r>
        <w:rPr/>
        <w:t>Non-Stormwater Discharges</w:t>
      </w:r>
      <w:r>
        <w:rPr>
          <w:spacing w:val="-1"/>
        </w:rPr>
        <w:t> </w:t>
      </w:r>
      <w:r>
        <w:rPr/>
        <w:t>(NSWDs).</w:t>
      </w:r>
    </w:p>
    <w:p>
      <w:pPr>
        <w:pStyle w:val="BodyText"/>
        <w:rPr>
          <w:b/>
        </w:rPr>
      </w:pPr>
    </w:p>
    <w:p>
      <w:pPr>
        <w:pStyle w:val="BodyText"/>
        <w:ind w:left="870" w:right="1178"/>
      </w:pPr>
      <w:r>
        <w:rPr/>
        <w:t>Unauthorized NSWDs can be generated from various pollutant sources. Depending upon their quantity and location where generated, unauthorized NSWDs can discharge to the storm drain system during dry weather as well as during a storm event (comingled with stormwater discharge). These NSWDs can consist of but are not limited to; (1) waters generated by the rinsing or washing of vehicles, equipment, buildings, or pavement, or (2) fluid, particulate or solid materials that have spilled, leaked, or been disposed of improperly. Section 5 of the Order provides a limited list of NSWDs that are authorized if Dischargers implement BMPs to prevent contact with industrial materials prior to discharge.</w:t>
      </w:r>
    </w:p>
    <w:p>
      <w:pPr>
        <w:pStyle w:val="BodyText"/>
        <w:ind w:left="870"/>
      </w:pPr>
      <w:r>
        <w:rPr/>
        <w:t>Emergency firefighting related discharges are not subject to this General Permit.</w:t>
      </w:r>
    </w:p>
    <w:p>
      <w:pPr>
        <w:pStyle w:val="BodyText"/>
        <w:spacing w:before="10"/>
        <w:rPr>
          <w:sz w:val="20"/>
        </w:rPr>
      </w:pPr>
    </w:p>
    <w:p>
      <w:pPr>
        <w:pStyle w:val="Heading1"/>
        <w:numPr>
          <w:ilvl w:val="1"/>
          <w:numId w:val="30"/>
        </w:numPr>
        <w:tabs>
          <w:tab w:pos="871" w:val="left" w:leader="none"/>
        </w:tabs>
        <w:spacing w:line="240" w:lineRule="auto" w:before="0" w:after="0"/>
        <w:ind w:left="870" w:right="0" w:hanging="591"/>
        <w:jc w:val="left"/>
      </w:pPr>
      <w:r>
        <w:rPr/>
        <w:t>Requirements for Stormwater Pollution Prevention</w:t>
      </w:r>
      <w:r>
        <w:rPr>
          <w:spacing w:val="-6"/>
        </w:rPr>
        <w:t> </w:t>
      </w:r>
      <w:r>
        <w:rPr/>
        <w:t>Plans.</w:t>
      </w:r>
    </w:p>
    <w:p>
      <w:pPr>
        <w:pStyle w:val="BodyText"/>
        <w:spacing w:before="10"/>
        <w:rPr>
          <w:b/>
          <w:sz w:val="20"/>
        </w:rPr>
      </w:pPr>
    </w:p>
    <w:p>
      <w:pPr>
        <w:pStyle w:val="ListParagraph"/>
        <w:numPr>
          <w:ilvl w:val="2"/>
          <w:numId w:val="30"/>
        </w:numPr>
        <w:tabs>
          <w:tab w:pos="1100" w:val="left" w:leader="none"/>
          <w:tab w:pos="1101" w:val="left" w:leader="none"/>
        </w:tabs>
        <w:spacing w:line="240" w:lineRule="auto" w:before="0" w:after="0"/>
        <w:ind w:left="1100" w:right="1315" w:hanging="821"/>
        <w:jc w:val="left"/>
        <w:rPr>
          <w:sz w:val="24"/>
        </w:rPr>
      </w:pPr>
      <w:r>
        <w:rPr>
          <w:sz w:val="24"/>
        </w:rPr>
        <w:t>This General Permit requires that all Dischargers with coverage develop, implement, and retain onsite a site-specific Stormwater Pollution Prevention Plan. The Discharger is required to include in its Stormwater Pollution Prevention Plan (section 6 of the Order) a site map, authorized NSWDs at</w:t>
      </w:r>
      <w:r>
        <w:rPr>
          <w:spacing w:val="-47"/>
          <w:sz w:val="24"/>
        </w:rPr>
        <w:t> </w:t>
      </w:r>
      <w:r>
        <w:rPr>
          <w:sz w:val="24"/>
        </w:rPr>
        <w:t>the facility, and an identification and assessment of potential pollutants sources resulting from exposure of the permitted activities to</w:t>
      </w:r>
      <w:r>
        <w:rPr>
          <w:spacing w:val="-7"/>
          <w:sz w:val="24"/>
        </w:rPr>
        <w:t> </w:t>
      </w:r>
      <w:r>
        <w:rPr>
          <w:sz w:val="24"/>
        </w:rPr>
        <w:t>stormwater.</w:t>
      </w:r>
    </w:p>
    <w:p>
      <w:pPr>
        <w:spacing w:after="0" w:line="240" w:lineRule="auto"/>
        <w:jc w:val="left"/>
        <w:rPr>
          <w:sz w:val="24"/>
        </w:rPr>
        <w:sectPr>
          <w:pgSz w:w="12240" w:h="15840"/>
          <w:pgMar w:header="728" w:footer="788" w:top="1540" w:bottom="980" w:left="1160" w:right="420"/>
        </w:sectPr>
      </w:pPr>
    </w:p>
    <w:p>
      <w:pPr>
        <w:pStyle w:val="BodyText"/>
        <w:spacing w:before="11"/>
        <w:rPr>
          <w:sz w:val="15"/>
        </w:rPr>
      </w:pPr>
    </w:p>
    <w:p>
      <w:pPr>
        <w:pStyle w:val="BodyText"/>
        <w:spacing w:before="92"/>
        <w:ind w:left="1100" w:right="1002"/>
      </w:pPr>
      <w:r>
        <w:rPr/>
        <w:t>This General Permit also requires that Dischargers clearly describe the BMPs that are being implemented in the Stormwater Pollution Prevention Plan. In addition to providing descriptions, Dischargers must also describe who is responsible for the BMPs, where the BMPs will be installed, how often and when the BMPs will be implemented, identify any pollutants of concern, and, for dischargers selecting Compliance Option 3, a site-specific monitoring plan.</w:t>
      </w:r>
    </w:p>
    <w:p>
      <w:pPr>
        <w:pStyle w:val="BodyText"/>
      </w:pPr>
    </w:p>
    <w:p>
      <w:pPr>
        <w:pStyle w:val="BodyText"/>
        <w:ind w:left="1100" w:right="1016"/>
      </w:pPr>
      <w:r>
        <w:rPr/>
        <w:t>Failure to develop or implement an adequate Stormwater Pollution Prevention Plan, or update or revise an existing Stormwater Pollution Prevention Plan as required, is a violation of this General Permit. Failure to maintain the Stormwater Pollution Prevention Plan on-site and have it available for inspection is also a violation of this General Permit.</w:t>
      </w:r>
    </w:p>
    <w:p>
      <w:pPr>
        <w:pStyle w:val="BodyText"/>
        <w:spacing w:before="10"/>
        <w:rPr>
          <w:sz w:val="20"/>
        </w:rPr>
      </w:pPr>
    </w:p>
    <w:p>
      <w:pPr>
        <w:pStyle w:val="ListParagraph"/>
        <w:numPr>
          <w:ilvl w:val="2"/>
          <w:numId w:val="30"/>
        </w:numPr>
        <w:tabs>
          <w:tab w:pos="1100" w:val="left" w:leader="none"/>
          <w:tab w:pos="1101" w:val="left" w:leader="none"/>
        </w:tabs>
        <w:spacing w:line="240" w:lineRule="auto" w:before="1" w:after="0"/>
        <w:ind w:left="1100" w:right="1206" w:hanging="821"/>
        <w:jc w:val="left"/>
        <w:rPr>
          <w:sz w:val="24"/>
        </w:rPr>
      </w:pPr>
      <w:r>
        <w:rPr>
          <w:sz w:val="24"/>
        </w:rPr>
        <w:t>The Los Angeles Water Board has selected minimum BMPs (section 6.5 of the Order) that are generally applicable at all facilities. Due to the diverse CII sites covered by this General Permit, the development of a more comprehensive list of minimum BMPs is not currently feasible. The selection, applicability, and effectiveness of a given BMP is often related to facility-specific facts and circumstances.</w:t>
      </w:r>
    </w:p>
    <w:p>
      <w:pPr>
        <w:pStyle w:val="BodyText"/>
        <w:spacing w:before="10"/>
        <w:rPr>
          <w:sz w:val="20"/>
        </w:rPr>
      </w:pPr>
    </w:p>
    <w:p>
      <w:pPr>
        <w:pStyle w:val="Heading1"/>
        <w:numPr>
          <w:ilvl w:val="1"/>
          <w:numId w:val="30"/>
        </w:numPr>
        <w:tabs>
          <w:tab w:pos="871" w:val="left" w:leader="none"/>
        </w:tabs>
        <w:spacing w:line="240" w:lineRule="auto" w:before="0" w:after="0"/>
        <w:ind w:left="870" w:right="0" w:hanging="591"/>
        <w:jc w:val="left"/>
      </w:pPr>
      <w:r>
        <w:rPr/>
        <w:t>Effluent</w:t>
      </w:r>
      <w:r>
        <w:rPr>
          <w:spacing w:val="-1"/>
        </w:rPr>
        <w:t> </w:t>
      </w:r>
      <w:r>
        <w:rPr/>
        <w:t>Limitations.</w:t>
      </w:r>
    </w:p>
    <w:p>
      <w:pPr>
        <w:pStyle w:val="BodyText"/>
        <w:spacing w:before="10"/>
        <w:rPr>
          <w:b/>
          <w:sz w:val="20"/>
        </w:rPr>
      </w:pPr>
    </w:p>
    <w:p>
      <w:pPr>
        <w:pStyle w:val="ListParagraph"/>
        <w:numPr>
          <w:ilvl w:val="2"/>
          <w:numId w:val="30"/>
        </w:numPr>
        <w:tabs>
          <w:tab w:pos="1100" w:val="left" w:leader="none"/>
          <w:tab w:pos="1101" w:val="left" w:leader="none"/>
        </w:tabs>
        <w:spacing w:line="240" w:lineRule="auto" w:before="0" w:after="0"/>
        <w:ind w:left="1100" w:right="0" w:hanging="821"/>
        <w:jc w:val="left"/>
        <w:rPr>
          <w:b/>
          <w:sz w:val="24"/>
        </w:rPr>
      </w:pPr>
      <w:r>
        <w:rPr>
          <w:b/>
          <w:sz w:val="24"/>
        </w:rPr>
        <w:t>Authority.</w:t>
      </w:r>
    </w:p>
    <w:p>
      <w:pPr>
        <w:pStyle w:val="BodyText"/>
        <w:spacing w:before="10"/>
        <w:rPr>
          <w:b/>
          <w:sz w:val="23"/>
        </w:rPr>
      </w:pPr>
    </w:p>
    <w:p>
      <w:pPr>
        <w:pStyle w:val="BodyText"/>
        <w:ind w:left="1100" w:right="1015"/>
      </w:pPr>
      <w:r>
        <w:rPr/>
        <w:t>The CWA requires point source dischargers to control the amount of conventional, nonconventional, and toxic pollutants that are discharged into the waters of the United States. The control of pollutants discharged is established through effluent limitations and other requirements in NPDES permits. There are two principal bases for effluent limitations in the Code of Federal Regulations.</w:t>
      </w:r>
    </w:p>
    <w:p>
      <w:pPr>
        <w:pStyle w:val="BodyText"/>
        <w:ind w:left="1100" w:right="1041"/>
      </w:pPr>
      <w:r>
        <w:rPr/>
        <w:t>Section 122.44(a) requires that permits include applicable technology-based limitations and standards; and section 122.44(d) requires that permits include water quality-based effluent limitations to attain and maintain applicable numeric and narrative water quality criteria to protect the beneficial uses of the receiving water.</w:t>
      </w:r>
    </w:p>
    <w:p>
      <w:pPr>
        <w:pStyle w:val="BodyText"/>
        <w:spacing w:before="10"/>
        <w:rPr>
          <w:sz w:val="20"/>
        </w:rPr>
      </w:pPr>
    </w:p>
    <w:p>
      <w:pPr>
        <w:pStyle w:val="Heading1"/>
        <w:numPr>
          <w:ilvl w:val="2"/>
          <w:numId w:val="30"/>
        </w:numPr>
        <w:tabs>
          <w:tab w:pos="1100" w:val="left" w:leader="none"/>
          <w:tab w:pos="1101" w:val="left" w:leader="none"/>
        </w:tabs>
        <w:spacing w:line="240" w:lineRule="auto" w:before="0" w:after="0"/>
        <w:ind w:left="1100" w:right="0" w:hanging="821"/>
        <w:jc w:val="left"/>
      </w:pPr>
      <w:r>
        <w:rPr/>
        <w:t>Basis for Technology-Based Effluent Limitations</w:t>
      </w:r>
      <w:r>
        <w:rPr>
          <w:spacing w:val="-6"/>
        </w:rPr>
        <w:t> </w:t>
      </w:r>
      <w:r>
        <w:rPr/>
        <w:t>(TBELs).</w:t>
      </w:r>
    </w:p>
    <w:p>
      <w:pPr>
        <w:pStyle w:val="BodyText"/>
        <w:rPr>
          <w:b/>
        </w:rPr>
      </w:pPr>
    </w:p>
    <w:p>
      <w:pPr>
        <w:pStyle w:val="BodyText"/>
        <w:ind w:left="1100" w:right="1148"/>
      </w:pPr>
      <w:r>
        <w:rPr/>
        <w:t>Section 301(b) of the CWA and implementing USEPA permit regulations at 40 CFR section 122.44(a) require that permits include conditions meeting applicable technology-based requirements at a minimum. The CWA sets forth standards for TBELs based on the type of pollutant or the type of facility/source involved. The CWA establishes two levels of pollution control for existing sources. For the first level, existing sources that discharge pollutants directly to receiving waters were initially subject to effluent limitations based on the “best practicable control technology currently available” (BPT). (33 U.S.C. § 1314(b)(1)(B).) BPT applies to all pollutants. For the second level, existing</w:t>
      </w:r>
    </w:p>
    <w:p>
      <w:pPr>
        <w:spacing w:after="0"/>
        <w:sectPr>
          <w:pgSz w:w="12240" w:h="15840"/>
          <w:pgMar w:header="728" w:footer="788" w:top="1540" w:bottom="980" w:left="1160" w:right="420"/>
        </w:sectPr>
      </w:pPr>
    </w:p>
    <w:p>
      <w:pPr>
        <w:pStyle w:val="BodyText"/>
        <w:spacing w:before="11"/>
        <w:rPr>
          <w:sz w:val="15"/>
        </w:rPr>
      </w:pPr>
    </w:p>
    <w:p>
      <w:pPr>
        <w:pStyle w:val="BodyText"/>
        <w:spacing w:before="92"/>
        <w:ind w:left="1100" w:right="1108"/>
      </w:pPr>
      <w:r>
        <w:rPr/>
        <w:t>sources that discharge conventional pollutants are subject to effluent limitations based on the “best conventional pollutant control technology” (BCT). (33 U.S.C.</w:t>
      </w:r>
    </w:p>
    <w:p>
      <w:pPr>
        <w:pStyle w:val="BodyText"/>
        <w:ind w:left="1100" w:right="1055"/>
      </w:pPr>
      <w:r>
        <w:rPr/>
        <w:t>§1314(b)(4)(A); see also 40 C.F.R. §401.16 (list of conventional pollutants).) Also for the second level, other existing sources that discharge toxic pollutants or “nonconventional” pollutants (“nonconventional” pollutants are pollutants that are neither “toxic” nor “conventional”) are subject to effluent limitations based on “best available technology economically achievable” (BAT). (33 U.S.C.</w:t>
      </w:r>
    </w:p>
    <w:p>
      <w:pPr>
        <w:pStyle w:val="BodyText"/>
        <w:ind w:left="1100" w:right="1056"/>
      </w:pPr>
      <w:r>
        <w:rPr/>
        <w:t>§1311(b)(2)(A); see also 40 C.F.R. §401.15 (list of toxic pollutants).) The factors to be considered in establishing the levels of these control technologies are specified in section 304(b) of the CWA and in U.S. EPA’s regulations at</w:t>
      </w:r>
      <w:r>
        <w:rPr>
          <w:spacing w:val="-26"/>
        </w:rPr>
        <w:t> </w:t>
      </w:r>
      <w:r>
        <w:rPr/>
        <w:t>40</w:t>
      </w:r>
    </w:p>
    <w:p>
      <w:pPr>
        <w:pStyle w:val="BodyText"/>
        <w:ind w:left="1100" w:right="1014"/>
      </w:pPr>
      <w:r>
        <w:rPr/>
        <w:t>C.F.R. §125.3. In some cases, new sources of discharges are subject to heightened performance standards known as New Source Performance Standards (NSPS). NSPS represent the most stringent controls attainable through the application of the best available demonstrated control technology for all pollutants (i.e., conventional, nonconventional, and toxic pollutants).</w:t>
      </w:r>
      <w:r>
        <w:rPr>
          <w:spacing w:val="-25"/>
        </w:rPr>
        <w:t> </w:t>
      </w:r>
      <w:r>
        <w:rPr/>
        <w:t>(33</w:t>
      </w:r>
    </w:p>
    <w:p>
      <w:pPr>
        <w:pStyle w:val="BodyText"/>
        <w:spacing w:before="1"/>
        <w:ind w:left="1100" w:right="1057"/>
      </w:pPr>
      <w:r>
        <w:rPr/>
        <w:t>U.S.C. § 1316.) The CWA also requires U.S. EPA to develop national effluent limitations, guidelines and standards (ELGs) on an industry-by-industry basis. 40 Code of Federal Regulations, Chapter I, Subchapter N (“Subchapter N”), includes over 40 separate industrial categories where the U.S. EPA has established ELGs for new and existing industrial wastewater discharges to surface waters, discharges to publicly owned treatment works (pre-treatment standards), and stormwater discharges to surface waters. When establishing ELGs for an industrial category, U.S. EPA evaluates a wide variety of technical factors to determine BPT, BCT, BAT and/or NSPS. U.S. EPA considers the specific factors of an industry such as pollutant sources, industrial processes, and the size and scale of operations. U.S. EPA evaluates the specific treatment, structural, and operational source control BMPs available to reduce or prevent pollutants in the discharges. The costs of implementing BMPs to address these factors are weighed against their effectiveness and ability to protect water quality. Factors such as industry economic viability, economies of scale, and retrofit costs are also considered. In establishing NSPS, U.S. EPA considers the cost of achieving the effluent reduction and any non-water quality environmental impacts and energy</w:t>
      </w:r>
      <w:r>
        <w:rPr>
          <w:spacing w:val="-2"/>
        </w:rPr>
        <w:t> </w:t>
      </w:r>
      <w:r>
        <w:rPr/>
        <w:t>requirements.</w:t>
      </w:r>
    </w:p>
    <w:p>
      <w:pPr>
        <w:pStyle w:val="BodyText"/>
        <w:spacing w:before="10"/>
        <w:rPr>
          <w:sz w:val="23"/>
        </w:rPr>
      </w:pPr>
    </w:p>
    <w:p>
      <w:pPr>
        <w:pStyle w:val="BodyText"/>
        <w:ind w:left="1100" w:right="1045"/>
      </w:pPr>
      <w:r>
        <w:rPr/>
        <w:t>The TBELs in this Order represent the BCT (for conventional pollutants) and BAT (for toxic pollutants and non-conventional pollutants) levels of control for the applicable pollutants. While U.S. EPA has not promulgated ELGs for the discharges covered under this Order, this Order includes TBELs established on best professional judgment. TBELs in this Order are expressed as requirements for implementation of effective BMPs. (40 CFR §122.44(k).) This General Permit (Section 6) requires all Dischargers to develop and implement Stormwater Pollution Prevention Plans (SWPPPs), including minimum BMPs. In addition, this General Permit requires Dischargers to implement more advanced BMPs that are necessary to adequately reduce or prevent pollutants in discharges to achieve WQBELs. These requirements, together, ensure that the</w:t>
      </w:r>
      <w:r>
        <w:rPr>
          <w:spacing w:val="-20"/>
        </w:rPr>
        <w:t> </w:t>
      </w:r>
      <w:r>
        <w:rPr/>
        <w:t>BCT/BAT</w:t>
      </w:r>
    </w:p>
    <w:p>
      <w:pPr>
        <w:spacing w:after="0"/>
        <w:sectPr>
          <w:pgSz w:w="12240" w:h="15840"/>
          <w:pgMar w:header="728" w:footer="788" w:top="1540" w:bottom="980" w:left="1160" w:right="420"/>
        </w:sectPr>
      </w:pPr>
    </w:p>
    <w:p>
      <w:pPr>
        <w:pStyle w:val="BodyText"/>
        <w:spacing w:before="11"/>
        <w:rPr>
          <w:sz w:val="15"/>
        </w:rPr>
      </w:pPr>
    </w:p>
    <w:p>
      <w:pPr>
        <w:pStyle w:val="BodyText"/>
        <w:spacing w:before="92"/>
        <w:ind w:left="1100"/>
      </w:pPr>
      <w:r>
        <w:rPr/>
        <w:t>standards are achieved consistent with the TBEL in section 7.1.1 of the Order.</w:t>
      </w:r>
    </w:p>
    <w:p>
      <w:pPr>
        <w:pStyle w:val="BodyText"/>
      </w:pPr>
    </w:p>
    <w:p>
      <w:pPr>
        <w:pStyle w:val="BodyText"/>
        <w:ind w:left="1100" w:right="1108"/>
      </w:pPr>
      <w:r>
        <w:rPr/>
        <w:t>The minimum BMPs specified in this General Permit represent common practices that can be implemented by most CII facilities. This General Permit generally does not mandate the specific mode of design, installation or implementation for the minimum BMPs at a Discharger’s facility. It is up to the Discharger, in the first instance, to determine what must be done to meet the applicable effluent limits. BMPs can be actions (including processes, procedures, schedules of activities, prohibitions on practices and other management practices), or structural or installed devices to reduce or prevent water pollution. (40 C.F.R. § 122.2.) They can be anything that is effective at preventing pollutants from entering the environment, and for meeting applicable limits of this General Permit. In this General Permit, Dischargers are required to select, design, install, and implement facility-specific control measures to meet these limits. Many CII facilities already have such control measures in place for product loss prevention, accident and fire prevention, worker health and safety or to comply with other environmental regulations. Dischargers must tailor the BMPs detailed in this General Permit to their facilities, as well as improve upon them as necessary to meet permit limits. The objective of some BMPs will be prevention and for others will be treatment, particularly where a facility might otherwise cause or contribute to an exceedance of water quality standards.</w:t>
      </w:r>
    </w:p>
    <w:p>
      <w:pPr>
        <w:pStyle w:val="BodyText"/>
        <w:spacing w:before="9"/>
        <w:rPr>
          <w:sz w:val="20"/>
        </w:rPr>
      </w:pPr>
    </w:p>
    <w:p>
      <w:pPr>
        <w:pStyle w:val="Heading1"/>
        <w:numPr>
          <w:ilvl w:val="2"/>
          <w:numId w:val="33"/>
        </w:numPr>
        <w:tabs>
          <w:tab w:pos="1100" w:val="left" w:leader="none"/>
          <w:tab w:pos="1101" w:val="left" w:leader="none"/>
        </w:tabs>
        <w:spacing w:line="240" w:lineRule="auto" w:before="1" w:after="0"/>
        <w:ind w:left="1100" w:right="0" w:hanging="822"/>
        <w:jc w:val="left"/>
      </w:pPr>
      <w:r>
        <w:rPr/>
        <w:t>Basis for Water Quality Based Effluent Limitations</w:t>
      </w:r>
      <w:r>
        <w:rPr>
          <w:spacing w:val="-4"/>
        </w:rPr>
        <w:t> </w:t>
      </w:r>
      <w:r>
        <w:rPr/>
        <w:t>(WQBELs).</w:t>
      </w:r>
    </w:p>
    <w:p>
      <w:pPr>
        <w:pStyle w:val="BodyText"/>
        <w:spacing w:before="11"/>
        <w:rPr>
          <w:b/>
          <w:sz w:val="23"/>
        </w:rPr>
      </w:pPr>
    </w:p>
    <w:p>
      <w:pPr>
        <w:pStyle w:val="BodyText"/>
        <w:ind w:left="1100" w:right="1035"/>
      </w:pPr>
      <w:r>
        <w:rPr/>
        <w:t>Section 402(p) of the CWA and 40 CFR section 122.44(d) require that permits include limitations more stringent than applicable federal technology-based requirements where necessary to achieve applicable water quality standards in the receiving water. Section 122.44(d)(1)(i) of 40 CFR mandates that permits include effluent limitations for all pollutants that are or may be discharged at levels that have the reasonable potential to cause or contribute to an exceedance of a water quality standard in the receiving water, including numeric and narrative objectives or criteria. Where reasonable potential has been established for a pollutant, but there is no numeric objective or criterion for the pollutant,</w:t>
      </w:r>
      <w:r>
        <w:rPr>
          <w:spacing w:val="-7"/>
        </w:rPr>
        <w:t> </w:t>
      </w:r>
      <w:r>
        <w:rPr/>
        <w:t>water</w:t>
      </w:r>
      <w:r>
        <w:rPr>
          <w:spacing w:val="-7"/>
        </w:rPr>
        <w:t> </w:t>
      </w:r>
      <w:r>
        <w:rPr/>
        <w:t>quality-based</w:t>
      </w:r>
      <w:r>
        <w:rPr>
          <w:spacing w:val="-7"/>
        </w:rPr>
        <w:t> </w:t>
      </w:r>
      <w:r>
        <w:rPr/>
        <w:t>effluent</w:t>
      </w:r>
      <w:r>
        <w:rPr>
          <w:spacing w:val="-6"/>
        </w:rPr>
        <w:t> </w:t>
      </w:r>
      <w:r>
        <w:rPr/>
        <w:t>limitations</w:t>
      </w:r>
      <w:r>
        <w:rPr>
          <w:spacing w:val="-7"/>
        </w:rPr>
        <w:t> </w:t>
      </w:r>
      <w:r>
        <w:rPr/>
        <w:t>(WQBELs)</w:t>
      </w:r>
      <w:r>
        <w:rPr>
          <w:spacing w:val="-7"/>
        </w:rPr>
        <w:t> </w:t>
      </w:r>
      <w:r>
        <w:rPr/>
        <w:t>must</w:t>
      </w:r>
      <w:r>
        <w:rPr>
          <w:spacing w:val="-7"/>
        </w:rPr>
        <w:t> </w:t>
      </w:r>
      <w:r>
        <w:rPr/>
        <w:t>be</w:t>
      </w:r>
      <w:r>
        <w:rPr>
          <w:spacing w:val="-6"/>
        </w:rPr>
        <w:t> </w:t>
      </w:r>
      <w:r>
        <w:rPr/>
        <w:t>established using: (1) USEPA criteria guidance under CWA section 304(a), supplemented where necessary by other relevant information; (2) an indicator parameter for the pollutant of concern; or (3) a calculated numeric water quality criterion, such as a proposed state criterion or policy interpreting the state’s narrative criterion, supplemented with other relevant information, as provided in 40 CFR section 122.44(d)(1)(vi). WQBELs must also be consistent with the assumptions and requirements of TMDL WLAs approved by</w:t>
      </w:r>
      <w:r>
        <w:rPr>
          <w:spacing w:val="-3"/>
        </w:rPr>
        <w:t> </w:t>
      </w:r>
      <w:r>
        <w:rPr/>
        <w:t>USEPA.</w:t>
      </w:r>
    </w:p>
    <w:p>
      <w:pPr>
        <w:pStyle w:val="BodyText"/>
      </w:pPr>
    </w:p>
    <w:p>
      <w:pPr>
        <w:pStyle w:val="BodyText"/>
        <w:spacing w:before="1"/>
        <w:ind w:left="1100" w:right="1134"/>
      </w:pPr>
      <w:r>
        <w:rPr/>
        <w:t>In this Order, WQBELs are included where the Los Angeles Water Board has determined that discharges from CII facilities have the reasonable potential to cause or contribute to an excursion above water quality standards. Reasonable</w:t>
      </w:r>
    </w:p>
    <w:p>
      <w:pPr>
        <w:spacing w:after="0"/>
        <w:sectPr>
          <w:pgSz w:w="12240" w:h="15840"/>
          <w:pgMar w:header="728" w:footer="788" w:top="1540" w:bottom="980" w:left="1160" w:right="420"/>
        </w:sectPr>
      </w:pPr>
    </w:p>
    <w:p>
      <w:pPr>
        <w:pStyle w:val="BodyText"/>
        <w:spacing w:before="11"/>
        <w:rPr>
          <w:sz w:val="15"/>
        </w:rPr>
      </w:pPr>
    </w:p>
    <w:p>
      <w:pPr>
        <w:pStyle w:val="BodyText"/>
        <w:spacing w:before="92"/>
        <w:ind w:left="1100" w:right="1069"/>
      </w:pPr>
      <w:r>
        <w:rPr/>
        <w:t>potential can be demonstrated in several ways, one of which is through the TMDL development process. Where a point source is assigned a WLA in a TMDL, the analysis conducted in the development of the TMDL provides the basis for the Los Angeles Water Board’s determination that the discharge has the reasonable potential to cause or contribute to an exceedance of water quality standards in the receiving water. This approach is affirmed in USEPA’s Permit Writer’s Manual, which states, “[w]here there is a pollutant with a WLA from a TMDL, a permit writer must develop WQBELs.” In this Order, WQBELs are included as numeric WQBELs in accordance with EPA guidance (US EPA Memorandum “Revisions to the November 22, 2002 Memorandum ‘Establishing Total Maximum Daily Load (TMDL) Wasteload Allocations (WLAs) for Storm Water Sources and NPDES Permit Requirements Based on Those WLAs’” (November 26, 2014) (2014 Memo)). Specifically, the 2014 Memo recommends that the WQBELs be clear, specific, measurable, and numeric where feasible.</w:t>
      </w:r>
    </w:p>
    <w:p>
      <w:pPr>
        <w:pStyle w:val="BodyText"/>
      </w:pPr>
    </w:p>
    <w:p>
      <w:pPr>
        <w:pStyle w:val="BodyText"/>
        <w:spacing w:before="1"/>
        <w:ind w:left="1100" w:right="1108"/>
      </w:pPr>
      <w:r>
        <w:rPr/>
        <w:t>40 CFR section 122.28(a)(3) provides that where sources within a specific category or subcategory of dischargers are subject to water quality-based limits pursuant to section 122.44, the sources in that specific category or subcategory shall be subject to the same water quality-based effluent limitations. This is the case with CII facilities in this general NPDES permit.</w:t>
      </w:r>
    </w:p>
    <w:p>
      <w:pPr>
        <w:pStyle w:val="BodyText"/>
        <w:spacing w:before="10"/>
        <w:rPr>
          <w:sz w:val="20"/>
        </w:rPr>
      </w:pPr>
    </w:p>
    <w:p>
      <w:pPr>
        <w:pStyle w:val="Heading1"/>
        <w:numPr>
          <w:ilvl w:val="3"/>
          <w:numId w:val="33"/>
        </w:numPr>
        <w:tabs>
          <w:tab w:pos="1359" w:val="left" w:leader="none"/>
          <w:tab w:pos="1360" w:val="left" w:leader="none"/>
        </w:tabs>
        <w:spacing w:line="240" w:lineRule="auto" w:before="0" w:after="0"/>
        <w:ind w:left="1360" w:right="0" w:hanging="1080"/>
        <w:jc w:val="left"/>
      </w:pPr>
      <w:r>
        <w:rPr/>
        <w:t>Pollutants in TMDLs and WLA</w:t>
      </w:r>
      <w:r>
        <w:rPr>
          <w:spacing w:val="-7"/>
        </w:rPr>
        <w:t> </w:t>
      </w:r>
      <w:r>
        <w:rPr/>
        <w:t>Translation.</w:t>
      </w:r>
    </w:p>
    <w:p>
      <w:pPr>
        <w:pStyle w:val="BodyText"/>
        <w:spacing w:before="10"/>
        <w:rPr>
          <w:b/>
          <w:sz w:val="23"/>
        </w:rPr>
      </w:pPr>
    </w:p>
    <w:p>
      <w:pPr>
        <w:pStyle w:val="BodyText"/>
        <w:ind w:left="1359" w:right="1068"/>
      </w:pPr>
      <w:r>
        <w:rPr/>
        <w:t>NPDES permits must contain effluent limits and conditions consistent with the requirements and assumptions of the WLAs in TMDLs. (40 CFR § 122.44(d)(1)(vii)(B).) In addition, CWC section 13263 requires that waste discharge requirements implement any relevant Water Quality Control Plans. (CWC § 13263, subd. (a).) The currently effective TMDLs for the two watersheds subject to this permit are listed in Attachment J and section 2.3.2 of this Fact Sheet. The WLAs in these TMDLs were analyzed and translated into prohibitions or numeric WQBELs consistent with federal regulation and related guidance (40 CFR 122.44(d)(1); 2014 Memo). In general, for all the TMDLs, dry-weather WLAs are incorporated as discharge prohibitions and wet-weather WLAs are incorporated as numeric WQBELs. The numeric WQBELs are feasible to calculate because in most cases they are direct incorporations of the WLAs. The numeric WQBELs are also clear, measurable, and will ensure that TMDL waterbodies are restored to their beneficial uses. In some cases, TMDL-specific WLA interpretations are necessary due to the variation of requirements in the TMDLs. For example, some TMDLs assign WLAs to all current and future point sources, thus specifically including CII facilities. Other TMDLs do not specifically assign WLAs to CII facilities but do assign WLAs to stormwater discharges and, in particular, MS4 discharges. Since the designation of CII facilities reflects their</w:t>
      </w:r>
    </w:p>
    <w:p>
      <w:pPr>
        <w:spacing w:after="0"/>
        <w:sectPr>
          <w:pgSz w:w="12240" w:h="15840"/>
          <w:pgMar w:header="728" w:footer="788" w:top="1540" w:bottom="980" w:left="1160" w:right="420"/>
        </w:sectPr>
      </w:pPr>
    </w:p>
    <w:p>
      <w:pPr>
        <w:pStyle w:val="BodyText"/>
        <w:spacing w:before="3"/>
        <w:rPr>
          <w:sz w:val="15"/>
        </w:rPr>
      </w:pPr>
    </w:p>
    <w:p>
      <w:pPr>
        <w:pStyle w:val="BodyText"/>
        <w:spacing w:before="95"/>
        <w:ind w:left="1360" w:right="1262"/>
      </w:pPr>
      <w:r>
        <w:rPr/>
        <w:t>contribution to the overall pollutant loading within the MS4</w:t>
      </w:r>
      <w:r>
        <w:rPr>
          <w:position w:val="8"/>
          <w:sz w:val="16"/>
        </w:rPr>
        <w:t>72</w:t>
      </w:r>
      <w:r>
        <w:rPr/>
        <w:t>, the WLAs for MS4 discharges are applicable to CII facilities and are incorporated into this Order. The manner of WLA incorporation into this Order is discussed in the paragraphs below for each individual TMDL.</w:t>
      </w:r>
    </w:p>
    <w:p>
      <w:pPr>
        <w:pStyle w:val="BodyText"/>
        <w:spacing w:before="10"/>
        <w:rPr>
          <w:sz w:val="20"/>
        </w:rPr>
      </w:pPr>
    </w:p>
    <w:p>
      <w:pPr>
        <w:pStyle w:val="Heading1"/>
        <w:ind w:left="1360"/>
      </w:pPr>
      <w:r>
        <w:rPr/>
        <w:t>Harbor Bacteria TMDL</w:t>
      </w:r>
    </w:p>
    <w:p>
      <w:pPr>
        <w:pStyle w:val="BodyText"/>
        <w:ind w:left="1360" w:right="1089"/>
      </w:pPr>
      <w:r>
        <w:rPr/>
        <w:t>The WLAs assigned to “any future enrollees under a general NPDES permit” are incorporated into this Order as WQBELs. The WQOs used to develop the WLAs in the Bacteria TMDL were the multipart bacteria WQOs for total coliform, fecal coliform, and enterococcus in the Basin Plan at the time the TMDL was established. This Order includes bacteria WQBELs based on the updated multipart bacteria WQOs included in the Bacteria Provisions for discharges subject to the TMDL, in order to apply consistent bacteria WQBELs for all discharges covered by this Order. Both the WQOs that were in the Basin Plan at the time the TMDL was established and the updated WQOs in the Bacteria Provisions are based on indicator bacteria density thresholds, and both protect beneficial uses.</w:t>
      </w:r>
    </w:p>
    <w:p>
      <w:pPr>
        <w:pStyle w:val="BodyText"/>
        <w:spacing w:before="11"/>
        <w:rPr>
          <w:sz w:val="20"/>
        </w:rPr>
      </w:pPr>
    </w:p>
    <w:p>
      <w:pPr>
        <w:pStyle w:val="Heading1"/>
        <w:ind w:left="1360"/>
      </w:pPr>
      <w:r>
        <w:rPr/>
        <w:t>Harbor Toxics TMDL</w:t>
      </w:r>
    </w:p>
    <w:p>
      <w:pPr>
        <w:pStyle w:val="BodyText"/>
        <w:ind w:left="1360" w:right="1049"/>
      </w:pPr>
      <w:r>
        <w:rPr/>
        <w:t>The WLAs assigned to “any future NPDES dischargers” are incorporated into this Order as WQBELs. The interim WLAs are incorporated as WQBELs. The final WLAs are incorporated as WQBELs that apply on March 23, 2032. Final WLA deadlines are included in the permit even if they are beyond the permit term to ensure enforceability if the permit is not reissued within five years. For the freshwater portion of the Dominguez Channel and Torrance Lateral:</w:t>
      </w:r>
    </w:p>
    <w:p>
      <w:pPr>
        <w:pStyle w:val="BodyText"/>
        <w:spacing w:before="8"/>
        <w:rPr>
          <w:sz w:val="20"/>
        </w:rPr>
      </w:pPr>
    </w:p>
    <w:p>
      <w:pPr>
        <w:pStyle w:val="BodyText"/>
        <w:spacing w:before="1"/>
        <w:ind w:left="2080" w:right="1191" w:hanging="288"/>
      </w:pPr>
      <w:r>
        <w:rPr/>
        <w:t>The interim WLA of 2 TUc is implemented as a trigger requiring initiation and implementation of the TRE/TIE process as outlined in US EPA’s “Understanding and Accounting for Method Variability in Whole Effluent Toxicity Applications Under the National Pollutant Discharge Elimination System Program” (2000) in accordance with TMDL implementation language.</w:t>
      </w:r>
    </w:p>
    <w:p>
      <w:pPr>
        <w:pStyle w:val="BodyText"/>
        <w:spacing w:before="10"/>
        <w:rPr>
          <w:sz w:val="20"/>
        </w:rPr>
      </w:pPr>
    </w:p>
    <w:p>
      <w:pPr>
        <w:pStyle w:val="BodyText"/>
        <w:ind w:left="2080" w:right="1276" w:hanging="288"/>
      </w:pPr>
      <w:r>
        <w:rPr/>
        <w:t>The final WLA of 1 TUc is incorporated as a numeric WQBEL as a monthly median in accordance with TMDL implementation language.</w:t>
      </w:r>
    </w:p>
    <w:p>
      <w:pPr>
        <w:pStyle w:val="BodyText"/>
        <w:spacing w:before="10"/>
        <w:rPr>
          <w:sz w:val="20"/>
        </w:rPr>
      </w:pPr>
    </w:p>
    <w:p>
      <w:pPr>
        <w:pStyle w:val="BodyText"/>
        <w:ind w:left="2080" w:right="1442" w:hanging="288"/>
      </w:pPr>
      <w:r>
        <w:rPr/>
        <w:t>The interim concentration-based WLAs for metals are incorporated as concentration-based numeric WQBELs as instantaneous maximum</w:t>
      </w:r>
    </w:p>
    <w:p>
      <w:pPr>
        <w:pStyle w:val="BodyText"/>
        <w:rPr>
          <w:sz w:val="20"/>
        </w:rPr>
      </w:pPr>
    </w:p>
    <w:p>
      <w:pPr>
        <w:pStyle w:val="BodyText"/>
        <w:spacing w:before="4"/>
        <w:rPr>
          <w:sz w:val="26"/>
        </w:rPr>
      </w:pPr>
      <w:r>
        <w:rPr/>
        <w:pict>
          <v:shape style="position:absolute;margin-left:72pt;margin-top:17.409243pt;width:144pt;height:.1pt;mso-position-horizontal-relative:page;mso-position-vertical-relative:paragraph;z-index:-251627520;mso-wrap-distance-left:0;mso-wrap-distance-right:0" coordorigin="1440,348" coordsize="2880,0" path="m1440,348l4320,348e" filled="false" stroked="true" strokeweight=".600010pt" strokecolor="#000000">
            <v:path arrowok="t"/>
            <v:stroke dashstyle="solid"/>
            <w10:wrap type="topAndBottom"/>
          </v:shape>
        </w:pict>
      </w:r>
    </w:p>
    <w:p>
      <w:pPr>
        <w:pStyle w:val="BodyText"/>
        <w:rPr>
          <w:sz w:val="20"/>
        </w:rPr>
      </w:pPr>
    </w:p>
    <w:p>
      <w:pPr>
        <w:pStyle w:val="BodyText"/>
        <w:spacing w:before="5"/>
        <w:rPr>
          <w:sz w:val="22"/>
        </w:rPr>
      </w:pPr>
    </w:p>
    <w:p>
      <w:pPr>
        <w:pStyle w:val="BodyText"/>
        <w:spacing w:before="95"/>
        <w:ind w:left="279" w:right="1090"/>
      </w:pPr>
      <w:r>
        <w:rPr>
          <w:position w:val="8"/>
          <w:sz w:val="16"/>
        </w:rPr>
        <w:t>72 </w:t>
      </w:r>
      <w:r>
        <w:rPr/>
        <w:t>U.S. EPA estimates that the designation of CII facilities greater than 5 acres would shift the zinc load reduction responsibility from the MS4 permittees to these CII facilities by 41.5%.</w:t>
      </w:r>
    </w:p>
    <w:p>
      <w:pPr>
        <w:spacing w:after="0"/>
        <w:sectPr>
          <w:pgSz w:w="12240" w:h="15840"/>
          <w:pgMar w:header="728" w:footer="788" w:top="1540" w:bottom="980" w:left="1160" w:right="420"/>
        </w:sectPr>
      </w:pPr>
    </w:p>
    <w:p>
      <w:pPr>
        <w:pStyle w:val="BodyText"/>
        <w:spacing w:before="11"/>
        <w:rPr>
          <w:sz w:val="15"/>
        </w:rPr>
      </w:pPr>
    </w:p>
    <w:p>
      <w:pPr>
        <w:pStyle w:val="BodyText"/>
        <w:spacing w:before="92"/>
        <w:ind w:left="2080" w:right="1035"/>
      </w:pPr>
      <w:r>
        <w:rPr/>
        <w:t>values in accordance with TMDL implementation language and CWA implementing regulations and guidance.</w:t>
      </w:r>
    </w:p>
    <w:p>
      <w:pPr>
        <w:pStyle w:val="BodyText"/>
        <w:spacing w:before="10"/>
        <w:rPr>
          <w:sz w:val="20"/>
        </w:rPr>
      </w:pPr>
    </w:p>
    <w:p>
      <w:pPr>
        <w:pStyle w:val="BodyText"/>
        <w:ind w:left="1360" w:right="1595"/>
      </w:pPr>
      <w:r>
        <w:rPr/>
        <w:t>For the Dominguez Channel Estuary and Greater Los Angeles and Long Beach Harbor Waters:</w:t>
      </w:r>
    </w:p>
    <w:p>
      <w:pPr>
        <w:pStyle w:val="BodyText"/>
        <w:spacing w:before="10"/>
        <w:rPr>
          <w:sz w:val="20"/>
        </w:rPr>
      </w:pPr>
    </w:p>
    <w:p>
      <w:pPr>
        <w:pStyle w:val="BodyText"/>
        <w:ind w:left="2080" w:right="1004" w:hanging="288"/>
      </w:pPr>
      <w:r>
        <w:rPr/>
        <w:t>The final mass-based WLAs for metals are incorporated as concentration- based numeric WQBELs equal to CTR total metals criteria in accordance with TMDL implementation language (compliance option c </w:t>
      </w:r>
      <w:r>
        <w:rPr>
          <w:position w:val="1"/>
        </w:rPr>
        <w:t>on page 13 of the TMDL). A hardness of 50 mg/L as CaCO</w:t>
      </w:r>
      <w:r>
        <w:rPr>
          <w:sz w:val="16"/>
        </w:rPr>
        <w:t>3 </w:t>
      </w:r>
      <w:r>
        <w:rPr>
          <w:position w:val="1"/>
        </w:rPr>
        <w:t>is </w:t>
      </w:r>
      <w:r>
        <w:rPr/>
        <w:t>assumed.</w:t>
      </w:r>
    </w:p>
    <w:p>
      <w:pPr>
        <w:pStyle w:val="BodyText"/>
        <w:spacing w:before="10"/>
        <w:rPr>
          <w:sz w:val="20"/>
        </w:rPr>
      </w:pPr>
    </w:p>
    <w:p>
      <w:pPr>
        <w:pStyle w:val="BodyText"/>
        <w:spacing w:before="1"/>
        <w:ind w:left="2080" w:right="1063" w:hanging="288"/>
      </w:pPr>
      <w:r>
        <w:rPr/>
        <w:t>The interim concentration-based sediment allocations for copper, lead, zinc, DDT, PAHs, and PCBs are incorporated as concentration-based numeric WQBELs in the storm-borne sediment discharge over a three- year averaging period in accordance with TMDL implementation language (compliance option c on page 11 of the TMDL).</w:t>
      </w:r>
    </w:p>
    <w:p>
      <w:pPr>
        <w:pStyle w:val="BodyText"/>
        <w:spacing w:before="9"/>
        <w:rPr>
          <w:sz w:val="20"/>
        </w:rPr>
      </w:pPr>
    </w:p>
    <w:p>
      <w:pPr>
        <w:pStyle w:val="BodyText"/>
        <w:spacing w:before="1"/>
        <w:ind w:left="2080" w:right="1050" w:hanging="288"/>
      </w:pPr>
      <w:r>
        <w:rPr/>
        <w:t>The final WLAs assigned to non-MS4 sources for metals and PAHs are incorporated as concentration-based numeric WQBELs as instantaneous maximum values in accordance with TMDL implementation language and CWA implementing regulations and guidance. The TMDL states that the averaging period for the WLAs shall be consistent with the CTR and relevant implementation guidance. Rather than calculating a separate average monthly and daily maximum WQBEL for the CTR criteria, the WLAs are incorporated directly as instantaneous maximum values, which is more practical given the nature of CII facilities and the monitoring requirements in this Order.</w:t>
      </w:r>
    </w:p>
    <w:p>
      <w:pPr>
        <w:pStyle w:val="BodyText"/>
        <w:spacing w:before="9"/>
        <w:rPr>
          <w:sz w:val="20"/>
        </w:rPr>
      </w:pPr>
    </w:p>
    <w:p>
      <w:pPr>
        <w:pStyle w:val="BodyText"/>
        <w:ind w:left="2080" w:right="1089" w:hanging="288"/>
      </w:pPr>
      <w:r>
        <w:rPr/>
        <w:t>The final concentration-based sediment WLAs for mercury in Consolidated Slip and Fish Harbor, cadmium in Dominguez Channel Estuary and Consolidated Slip, and chromium in Consolidated Slip are incorporated as concentration-based numeric WQBELs in the storm- borne sediment discharge in accordance with TMDL implementation language (compliance option a on page 17 of the TMDL).</w:t>
      </w:r>
    </w:p>
    <w:p>
      <w:pPr>
        <w:pStyle w:val="BodyText"/>
        <w:spacing w:before="10"/>
        <w:rPr>
          <w:sz w:val="20"/>
        </w:rPr>
      </w:pPr>
    </w:p>
    <w:p>
      <w:pPr>
        <w:pStyle w:val="Heading1"/>
        <w:ind w:left="280"/>
      </w:pPr>
      <w:r>
        <w:rPr/>
        <w:t>Machado Lake Trash TMDL</w:t>
      </w:r>
    </w:p>
    <w:p>
      <w:pPr>
        <w:pStyle w:val="BodyText"/>
        <w:ind w:left="1359" w:right="1028" w:hanging="1080"/>
      </w:pPr>
      <w:r>
        <w:rPr/>
        <w:t>The WLAs assigned to “any additional responsible jurisdictions in the future under Phase 2 of the US EPA Stormwater Permitting Program” are incorporated into this Order as WQBELs. The compliance date for the trash WLA has passed. The WLA is incorporated as a prohibition consistent with the assumptions and requirements of the wasteload allocations. Pursuant to California Water Code section 13360(a), Permittees may comply with the trash prohibition using any lawful means, including the implementation of certified full capture systems, in accordance with TMDL implementation language. If implementing full</w:t>
      </w:r>
      <w:r>
        <w:rPr>
          <w:spacing w:val="-42"/>
        </w:rPr>
        <w:t> </w:t>
      </w:r>
      <w:r>
        <w:rPr/>
        <w:t>capture</w:t>
      </w:r>
    </w:p>
    <w:p>
      <w:pPr>
        <w:spacing w:after="0"/>
        <w:sectPr>
          <w:pgSz w:w="12240" w:h="15840"/>
          <w:pgMar w:header="728" w:footer="788" w:top="1540" w:bottom="980" w:left="1160" w:right="420"/>
        </w:sectPr>
      </w:pPr>
    </w:p>
    <w:p>
      <w:pPr>
        <w:pStyle w:val="BodyText"/>
        <w:spacing w:before="11"/>
        <w:rPr>
          <w:sz w:val="15"/>
        </w:rPr>
      </w:pPr>
    </w:p>
    <w:p>
      <w:pPr>
        <w:pStyle w:val="BodyText"/>
        <w:spacing w:before="92"/>
        <w:ind w:left="1360" w:right="1162"/>
        <w:jc w:val="both"/>
      </w:pPr>
      <w:r>
        <w:rPr/>
        <w:t>system, a Permittee shall be in compliance with the prohibition if all drainage areas on the facility property are serviced by appropriate certified full capture systems.</w:t>
      </w:r>
    </w:p>
    <w:p>
      <w:pPr>
        <w:pStyle w:val="BodyText"/>
        <w:spacing w:before="10"/>
        <w:rPr>
          <w:sz w:val="20"/>
        </w:rPr>
      </w:pPr>
    </w:p>
    <w:p>
      <w:pPr>
        <w:pStyle w:val="Heading1"/>
        <w:ind w:left="280"/>
      </w:pPr>
      <w:r>
        <w:rPr/>
        <w:t>Machado Nutrients TMDL</w:t>
      </w:r>
    </w:p>
    <w:p>
      <w:pPr>
        <w:pStyle w:val="BodyText"/>
        <w:ind w:left="1360" w:right="1035" w:hanging="1080"/>
      </w:pPr>
      <w:r>
        <w:rPr/>
        <w:t>The TMDL does not explicitly assign WLAs to CII facilities. However, the TMDL assigns grouped WLAs to stormwater discharges (MS4, Caltrans, general construction, and general industrial). The MS4 WLAs are applicable to the CII facilities because CII facilities are within the footprint of the MS4 and contribute to the pollutant loading in the MS4. The WLAs are concentration- based and easily translated to WQBELs for CII facilities. The compliance date for the final nutrient WLAs has passed. The final WLAs of 0.1 mg/L for total phosphorus and 1.0 mg/L for total nitrogen (TKN + NO3 -N + NO2 –N) are incorporated as numeric WQBELs as monthly averages in accordance with TMDL implementation language. Permittees may also comply with WQBELs by actively participating in the Lake Water Quality Management Plan (LWQMP) developed by the City of Los Angeles and memorialized in a Memorandum of Agreement with the Los Angeles Water Board to attain receiving water limitations in the Lake.</w:t>
      </w:r>
    </w:p>
    <w:p>
      <w:pPr>
        <w:pStyle w:val="BodyText"/>
        <w:spacing w:before="11"/>
        <w:rPr>
          <w:sz w:val="20"/>
        </w:rPr>
      </w:pPr>
    </w:p>
    <w:p>
      <w:pPr>
        <w:pStyle w:val="Heading1"/>
        <w:ind w:left="280"/>
      </w:pPr>
      <w:r>
        <w:rPr/>
        <w:t>Machado Lake Pesticides and PCBs TMDL</w:t>
      </w:r>
    </w:p>
    <w:p>
      <w:pPr>
        <w:pStyle w:val="BodyText"/>
        <w:ind w:left="1359" w:right="1055" w:hanging="1080"/>
      </w:pPr>
      <w:r>
        <w:rPr/>
        <w:t>The TMDL does not explicitly assign WLAs to CII facilities. However, the TMDL assigns grouped WLAs to stormwater discharges (MS4, Caltrans, general construction, and general industrial). The MS4 WLAs are applicable to the CII facilities because CII facilities are within the footprint of the MS4 and contribute to the pollutant loading in the MS4. The WLAs are concentration- based and easily translated to WQBELs for CII facilities. The compliance</w:t>
      </w:r>
      <w:r>
        <w:rPr>
          <w:spacing w:val="-39"/>
        </w:rPr>
        <w:t> </w:t>
      </w:r>
      <w:r>
        <w:rPr/>
        <w:t>date for the final pesticide WLAs has passed. The final WLAs for PCBs, Total DDT, chlordane, and dieldrin are incorporated as numeric WQBELs as a three-year average in accordance with TMDL implementation language. To determine compliance, Permittees shall monitor pollutant concentrations of the storm-borne sediment discharged from the facility. Sampling shall be designed to collect sufficient volumes of suspended solids to allow for analysis of pollutants in the bulk</w:t>
      </w:r>
      <w:r>
        <w:rPr>
          <w:spacing w:val="-4"/>
        </w:rPr>
        <w:t> </w:t>
      </w:r>
      <w:r>
        <w:rPr/>
        <w:t>sediment.</w:t>
      </w:r>
    </w:p>
    <w:p>
      <w:pPr>
        <w:pStyle w:val="BodyText"/>
        <w:spacing w:before="9"/>
        <w:rPr>
          <w:sz w:val="20"/>
        </w:rPr>
      </w:pPr>
    </w:p>
    <w:p>
      <w:pPr>
        <w:pStyle w:val="Heading1"/>
        <w:ind w:left="280"/>
      </w:pPr>
      <w:r>
        <w:rPr/>
        <w:t>Los Cerritos Channel Metals TMDL</w:t>
      </w:r>
    </w:p>
    <w:p>
      <w:pPr>
        <w:pStyle w:val="BodyText"/>
        <w:ind w:left="1360" w:right="1090" w:hanging="1080"/>
      </w:pPr>
      <w:r>
        <w:rPr/>
        <w:t>The TMDL does not explicitly assign WLAs to CII facilities. However, the TMDL assigns grouped WLAs to stormwater discharges that are apportioned between MS4 permittees, Caltrans, and general industrial and general construction permittees based on their relative areas in the watershed. Since the CII facilities subject to this Order lie within the boundaries of the MS4, CII facility discharges are accounted for in the MS4 WLAs.</w:t>
      </w:r>
    </w:p>
    <w:p>
      <w:pPr>
        <w:pStyle w:val="BodyText"/>
        <w:spacing w:before="10"/>
        <w:rPr>
          <w:sz w:val="20"/>
        </w:rPr>
      </w:pPr>
    </w:p>
    <w:p>
      <w:pPr>
        <w:pStyle w:val="BodyText"/>
        <w:ind w:left="1360" w:right="1088" w:hanging="1080"/>
      </w:pPr>
      <w:r>
        <w:rPr/>
        <w:t>The final wet-weather mass-based WLAs assigned for copper, lead, and zinc are incorporated into this Order as numeric WQBELs that apply on September 30, 2026. Final WLA deadlines are included in permit even if they are beyond</w:t>
      </w:r>
    </w:p>
    <w:p>
      <w:pPr>
        <w:spacing w:after="0"/>
        <w:sectPr>
          <w:pgSz w:w="12240" w:h="15840"/>
          <w:pgMar w:header="728" w:footer="788" w:top="1540" w:bottom="980" w:left="1160" w:right="420"/>
        </w:sectPr>
      </w:pPr>
    </w:p>
    <w:p>
      <w:pPr>
        <w:pStyle w:val="BodyText"/>
        <w:spacing w:before="11"/>
        <w:rPr>
          <w:sz w:val="15"/>
        </w:rPr>
      </w:pPr>
    </w:p>
    <w:p>
      <w:pPr>
        <w:pStyle w:val="BodyText"/>
        <w:spacing w:before="92"/>
        <w:ind w:left="1360" w:right="1063"/>
      </w:pPr>
      <w:r>
        <w:rPr/>
        <w:t>the permit term to ensure enforceability if the permit is not reissued within five years. For ease of implementation, the final mass-based WLAs are incorporated into the Order as concentration-based WQBELs. Demonstrating compliance with concentration-based values rather than mass-based values is more practical given the nature of monitoring requirements in the Order.</w:t>
      </w:r>
    </w:p>
    <w:p>
      <w:pPr>
        <w:pStyle w:val="BodyText"/>
        <w:ind w:left="1360" w:right="1289"/>
      </w:pPr>
      <w:r>
        <w:rPr/>
        <w:t>The wet-weather mass-based WLAs are expressed as equations. In the Order, the terms of these equations have been rearranged to express WQBELs as an “effective concentration” of a metal that when multiplied by the volume of flow in the river for the assessed day (i.e., the daily volume in liters) gives the calculated effluent limitation as a load:</w:t>
      </w:r>
    </w:p>
    <w:p>
      <w:pPr>
        <w:spacing w:line="510" w:lineRule="atLeast" w:before="11"/>
        <w:ind w:left="279" w:right="1516" w:firstLine="1512"/>
        <w:jc w:val="left"/>
        <w:rPr>
          <w:sz w:val="24"/>
        </w:rPr>
      </w:pPr>
      <w:r>
        <w:rPr>
          <w:rFonts w:ascii="Cambria" w:eastAsia="Cambria"/>
          <w:i/>
          <w:w w:val="80"/>
          <w:sz w:val="24"/>
        </w:rPr>
        <w:t>𝐸𝑓𝑓𝑙𝑢𝑒𝑛𝑡 𝐿𝑖𝑚𝑖𝑡𝑎𝑡𝑖𝑜𝑛 </w:t>
      </w:r>
      <w:r>
        <w:rPr>
          <w:w w:val="80"/>
          <w:sz w:val="24"/>
        </w:rPr>
        <w:t>= (</w:t>
      </w:r>
      <w:r>
        <w:rPr>
          <w:rFonts w:ascii="Cambria" w:eastAsia="Cambria"/>
          <w:i/>
          <w:w w:val="80"/>
          <w:sz w:val="24"/>
        </w:rPr>
        <w:t>𝐸𝑓𝑓𝑒𝑐𝑡𝑖𝑣𝑒 𝐶𝑜𝑛𝑐𝑒𝑛𝑡𝑟𝑎𝑡𝑖𝑜𝑛</w:t>
      </w:r>
      <w:r>
        <w:rPr>
          <w:w w:val="80"/>
          <w:sz w:val="24"/>
        </w:rPr>
        <w:t>) </w:t>
      </w:r>
      <w:r>
        <w:rPr>
          <w:rFonts w:ascii="Cambria" w:eastAsia="Cambria"/>
          <w:i/>
          <w:w w:val="80"/>
          <w:sz w:val="24"/>
        </w:rPr>
        <w:t>𝑥 </w:t>
      </w:r>
      <w:r>
        <w:rPr>
          <w:w w:val="80"/>
          <w:sz w:val="24"/>
        </w:rPr>
        <w:t>(</w:t>
      </w:r>
      <w:r>
        <w:rPr>
          <w:rFonts w:ascii="Cambria" w:eastAsia="Cambria"/>
          <w:i/>
          <w:w w:val="80"/>
          <w:sz w:val="24"/>
        </w:rPr>
        <w:t>𝑑𝑎𝑖𝑙𝑦 𝑣𝑜𝑙𝑢𝑚𝑒</w:t>
      </w:r>
      <w:r>
        <w:rPr>
          <w:w w:val="80"/>
          <w:sz w:val="24"/>
        </w:rPr>
        <w:t>) </w:t>
      </w:r>
      <w:r>
        <w:rPr>
          <w:sz w:val="24"/>
        </w:rPr>
        <w:t>As an example, the grouped wet-weather effluent limitation for copper in for the Los</w:t>
      </w:r>
    </w:p>
    <w:p>
      <w:pPr>
        <w:pStyle w:val="BodyText"/>
        <w:spacing w:before="6"/>
        <w:ind w:left="1359"/>
      </w:pPr>
      <w:r>
        <w:rPr/>
        <w:t>Angeles County MS4 permittees is a load expressed as grams per day:</w:t>
      </w:r>
    </w:p>
    <w:p>
      <w:pPr>
        <w:pStyle w:val="BodyText"/>
        <w:spacing w:before="10"/>
        <w:rPr>
          <w:sz w:val="20"/>
        </w:rPr>
      </w:pPr>
    </w:p>
    <w:p>
      <w:pPr>
        <w:spacing w:before="0"/>
        <w:ind w:left="1791" w:right="0" w:firstLine="0"/>
        <w:jc w:val="left"/>
        <w:rPr>
          <w:sz w:val="24"/>
        </w:rPr>
      </w:pPr>
      <w:r>
        <w:rPr>
          <w:rFonts w:ascii="Cambria" w:hAnsi="Cambria" w:eastAsia="Cambria"/>
          <w:i/>
          <w:w w:val="95"/>
          <w:sz w:val="24"/>
        </w:rPr>
        <w:t>𝐸𝑓𝑓𝑙𝑢𝑒𝑛𝑡 𝐿𝑖𝑚𝑖𝑡𝑎𝑡𝑖𝑜𝑛 </w:t>
      </w:r>
      <w:r>
        <w:rPr>
          <w:w w:val="95"/>
          <w:sz w:val="24"/>
        </w:rPr>
        <w:t>= (4.709 </w:t>
      </w:r>
      <w:r>
        <w:rPr>
          <w:rFonts w:ascii="Cambria" w:hAnsi="Cambria" w:eastAsia="Cambria"/>
          <w:i/>
          <w:w w:val="95"/>
          <w:sz w:val="24"/>
        </w:rPr>
        <w:t>𝑥 </w:t>
      </w:r>
      <w:r>
        <w:rPr>
          <w:w w:val="95"/>
          <w:sz w:val="24"/>
        </w:rPr>
        <w:t>10−6) </w:t>
      </w:r>
      <w:r>
        <w:rPr>
          <w:rFonts w:ascii="Cambria" w:hAnsi="Cambria" w:eastAsia="Cambria"/>
          <w:i/>
          <w:w w:val="95"/>
          <w:sz w:val="24"/>
        </w:rPr>
        <w:t>𝑥 </w:t>
      </w:r>
      <w:r>
        <w:rPr>
          <w:w w:val="95"/>
          <w:sz w:val="24"/>
        </w:rPr>
        <w:t>(</w:t>
      </w:r>
      <w:r>
        <w:rPr>
          <w:rFonts w:ascii="Cambria" w:hAnsi="Cambria" w:eastAsia="Cambria"/>
          <w:i/>
          <w:w w:val="95"/>
          <w:sz w:val="24"/>
        </w:rPr>
        <w:t>𝑑𝑎𝑖𝑙𝑦 𝑣𝑜𝑙𝑢𝑚𝑒</w:t>
      </w:r>
      <w:r>
        <w:rPr>
          <w:w w:val="95"/>
          <w:sz w:val="24"/>
        </w:rPr>
        <w:t>)</w:t>
      </w:r>
    </w:p>
    <w:p>
      <w:pPr>
        <w:pStyle w:val="BodyText"/>
        <w:spacing w:before="241"/>
        <w:ind w:left="1359" w:right="1141" w:hanging="1080"/>
      </w:pPr>
      <w:r>
        <w:rPr/>
        <w:t>Setting the two equations equal and rearranging the variables to solve for the “effective concentration” the equation becomes:</w:t>
      </w:r>
    </w:p>
    <w:p>
      <w:pPr>
        <w:pStyle w:val="BodyText"/>
        <w:spacing w:before="9"/>
        <w:rPr>
          <w:sz w:val="20"/>
        </w:rPr>
      </w:pPr>
    </w:p>
    <w:p>
      <w:pPr>
        <w:spacing w:before="0"/>
        <w:ind w:left="2080" w:right="3681" w:hanging="288"/>
        <w:jc w:val="left"/>
        <w:rPr>
          <w:sz w:val="24"/>
        </w:rPr>
      </w:pPr>
      <w:r>
        <w:rPr>
          <w:w w:val="80"/>
          <w:sz w:val="24"/>
        </w:rPr>
        <w:t>(</w:t>
      </w:r>
      <w:r>
        <w:rPr>
          <w:rFonts w:ascii="Cambria" w:hAnsi="Cambria" w:eastAsia="Cambria"/>
          <w:i/>
          <w:w w:val="80"/>
          <w:sz w:val="24"/>
        </w:rPr>
        <w:t>𝐸𝑓𝑓𝑒𝑐𝑡𝑖𝑣𝑒 𝐶𝑜𝑛𝑐𝑒𝑛𝑡𝑟𝑎𝑡𝑖𝑜𝑛</w:t>
      </w:r>
      <w:r>
        <w:rPr>
          <w:w w:val="80"/>
          <w:sz w:val="24"/>
        </w:rPr>
        <w:t>) </w:t>
      </w:r>
      <w:r>
        <w:rPr>
          <w:rFonts w:ascii="Cambria" w:hAnsi="Cambria" w:eastAsia="Cambria"/>
          <w:i/>
          <w:w w:val="80"/>
          <w:sz w:val="24"/>
        </w:rPr>
        <w:t>𝑥 </w:t>
      </w:r>
      <w:r>
        <w:rPr>
          <w:w w:val="80"/>
          <w:sz w:val="24"/>
        </w:rPr>
        <w:t>(</w:t>
      </w:r>
      <w:r>
        <w:rPr>
          <w:rFonts w:ascii="Cambria" w:hAnsi="Cambria" w:eastAsia="Cambria"/>
          <w:i/>
          <w:w w:val="80"/>
          <w:sz w:val="24"/>
        </w:rPr>
        <w:t>𝑑𝑎𝑖𝑙𝑦 𝑣𝑜𝑙𝑢𝑚𝑒</w:t>
      </w:r>
      <w:r>
        <w:rPr>
          <w:w w:val="80"/>
          <w:sz w:val="24"/>
        </w:rPr>
        <w:t>) = </w:t>
      </w:r>
      <w:r>
        <w:rPr>
          <w:w w:val="95"/>
          <w:sz w:val="24"/>
        </w:rPr>
        <w:t>(4.709 </w:t>
      </w:r>
      <w:r>
        <w:rPr>
          <w:rFonts w:ascii="Cambria" w:hAnsi="Cambria" w:eastAsia="Cambria"/>
          <w:i/>
          <w:w w:val="95"/>
          <w:sz w:val="24"/>
        </w:rPr>
        <w:t>𝑥 </w:t>
      </w:r>
      <w:r>
        <w:rPr>
          <w:w w:val="95"/>
          <w:sz w:val="24"/>
        </w:rPr>
        <w:t>10−6) </w:t>
      </w:r>
      <w:r>
        <w:rPr>
          <w:rFonts w:ascii="Cambria" w:hAnsi="Cambria" w:eastAsia="Cambria"/>
          <w:i/>
          <w:w w:val="95"/>
          <w:sz w:val="24"/>
        </w:rPr>
        <w:t>𝑥 </w:t>
      </w:r>
      <w:r>
        <w:rPr>
          <w:w w:val="95"/>
          <w:sz w:val="24"/>
        </w:rPr>
        <w:t>(</w:t>
      </w:r>
      <w:r>
        <w:rPr>
          <w:rFonts w:ascii="Cambria" w:hAnsi="Cambria" w:eastAsia="Cambria"/>
          <w:i/>
          <w:w w:val="95"/>
          <w:sz w:val="24"/>
        </w:rPr>
        <w:t>𝑑𝑎𝑖𝑙𝑦 𝑣𝑜𝑙𝑢𝑚𝑒</w:t>
      </w:r>
      <w:r>
        <w:rPr>
          <w:w w:val="95"/>
          <w:sz w:val="24"/>
        </w:rPr>
        <w:t>)</w:t>
      </w:r>
    </w:p>
    <w:p>
      <w:pPr>
        <w:spacing w:line="281" w:lineRule="exact" w:before="241"/>
        <w:ind w:left="1792" w:right="0" w:firstLine="0"/>
        <w:jc w:val="left"/>
        <w:rPr>
          <w:rFonts w:ascii="Cambria" w:hAnsi="Cambria" w:eastAsia="Cambria"/>
          <w:i/>
          <w:sz w:val="24"/>
        </w:rPr>
      </w:pPr>
      <w:r>
        <w:rPr>
          <w:rFonts w:ascii="Cambria" w:hAnsi="Cambria" w:eastAsia="Cambria"/>
          <w:i/>
          <w:w w:val="95"/>
          <w:sz w:val="24"/>
        </w:rPr>
        <w:t>𝐸𝑓𝑓𝑒𝑐𝑡𝑖𝑣𝑒 𝐶𝑜𝑛𝑐𝑒𝑛𝑡𝑟𝑎𝑡𝑖𝑜𝑛 </w:t>
      </w:r>
      <w:r>
        <w:rPr>
          <w:w w:val="95"/>
          <w:sz w:val="24"/>
        </w:rPr>
        <w:t>= (4.709 </w:t>
      </w:r>
      <w:r>
        <w:rPr>
          <w:rFonts w:ascii="Cambria" w:hAnsi="Cambria" w:eastAsia="Cambria"/>
          <w:i/>
          <w:w w:val="95"/>
          <w:sz w:val="24"/>
        </w:rPr>
        <w:t>𝑥 </w:t>
      </w:r>
      <w:r>
        <w:rPr>
          <w:w w:val="95"/>
          <w:sz w:val="24"/>
        </w:rPr>
        <w:t>10−6) </w:t>
      </w:r>
      <w:r>
        <w:rPr>
          <w:rFonts w:ascii="Cambria" w:hAnsi="Cambria" w:eastAsia="Cambria"/>
          <w:i/>
          <w:w w:val="95"/>
          <w:sz w:val="24"/>
        </w:rPr>
        <w:t>𝑥 </w:t>
      </w:r>
      <w:r>
        <w:rPr>
          <w:w w:val="95"/>
          <w:sz w:val="24"/>
        </w:rPr>
        <w:t>(</w:t>
      </w:r>
      <w:r>
        <w:rPr>
          <w:rFonts w:ascii="Cambria" w:hAnsi="Cambria" w:eastAsia="Cambria"/>
          <w:i/>
          <w:w w:val="95"/>
          <w:sz w:val="24"/>
        </w:rPr>
        <w:t>𝑑𝑎𝑖𝑙𝑦 𝑣𝑜𝑙𝑢𝑚𝑒</w:t>
      </w:r>
      <w:r>
        <w:rPr>
          <w:w w:val="95"/>
          <w:sz w:val="24"/>
        </w:rPr>
        <w:t>)(</w:t>
      </w:r>
      <w:r>
        <w:rPr>
          <w:rFonts w:ascii="Cambria" w:hAnsi="Cambria" w:eastAsia="Cambria"/>
          <w:i/>
          <w:w w:val="95"/>
          <w:sz w:val="24"/>
        </w:rPr>
        <w:t>𝑑𝑎𝑖𝑙𝑦</w:t>
      </w:r>
    </w:p>
    <w:p>
      <w:pPr>
        <w:spacing w:line="281" w:lineRule="exact" w:before="0"/>
        <w:ind w:left="2080" w:right="0" w:firstLine="0"/>
        <w:jc w:val="left"/>
        <w:rPr>
          <w:sz w:val="24"/>
        </w:rPr>
      </w:pPr>
      <w:r>
        <w:rPr>
          <w:rFonts w:ascii="Cambria" w:eastAsia="Cambria"/>
          <w:i/>
          <w:w w:val="95"/>
          <w:sz w:val="24"/>
        </w:rPr>
        <w:t>𝑣𝑜𝑙𝑢𝑚𝑒</w:t>
      </w:r>
      <w:r>
        <w:rPr>
          <w:w w:val="95"/>
          <w:sz w:val="24"/>
        </w:rPr>
        <w:t>)</w:t>
      </w:r>
    </w:p>
    <w:p>
      <w:pPr>
        <w:spacing w:before="239"/>
        <w:ind w:left="1792" w:right="0" w:firstLine="0"/>
        <w:jc w:val="left"/>
        <w:rPr>
          <w:sz w:val="24"/>
        </w:rPr>
      </w:pPr>
      <w:r>
        <w:rPr>
          <w:rFonts w:ascii="Cambria" w:hAnsi="Cambria" w:eastAsia="Cambria"/>
          <w:i/>
          <w:sz w:val="24"/>
        </w:rPr>
        <w:t>𝐸𝑓𝑓𝑒𝑐𝑡𝑖𝑣𝑒 𝐶𝑜𝑛𝑐𝑒𝑛𝑡𝑟𝑎𝑡𝑖𝑜𝑛 </w:t>
      </w:r>
      <w:r>
        <w:rPr>
          <w:sz w:val="24"/>
        </w:rPr>
        <w:t>= 4.709 </w:t>
      </w:r>
      <w:r>
        <w:rPr>
          <w:rFonts w:ascii="Cambria" w:hAnsi="Cambria" w:eastAsia="Cambria"/>
          <w:i/>
          <w:sz w:val="24"/>
        </w:rPr>
        <w:t>𝑥 </w:t>
      </w:r>
      <w:r>
        <w:rPr>
          <w:sz w:val="24"/>
        </w:rPr>
        <w:t>10−6</w:t>
      </w:r>
    </w:p>
    <w:p>
      <w:pPr>
        <w:pStyle w:val="BodyText"/>
        <w:spacing w:before="241"/>
        <w:ind w:left="1360" w:right="1715" w:hanging="1080"/>
      </w:pPr>
      <w:r>
        <w:rPr/>
        <w:t>This equation results in an effective concentration for copper expressed as g/L; to convert to μg/L, apply the conversion factor 1 g = 1 x 106 μg:</w:t>
      </w:r>
    </w:p>
    <w:p>
      <w:pPr>
        <w:pStyle w:val="BodyText"/>
        <w:spacing w:before="9"/>
        <w:rPr>
          <w:sz w:val="20"/>
        </w:rPr>
      </w:pPr>
    </w:p>
    <w:p>
      <w:pPr>
        <w:spacing w:before="1"/>
        <w:ind w:left="1791" w:right="0" w:firstLine="0"/>
        <w:jc w:val="left"/>
        <w:rPr>
          <w:sz w:val="24"/>
        </w:rPr>
      </w:pPr>
      <w:r>
        <w:rPr>
          <w:rFonts w:ascii="Cambria" w:eastAsia="Cambria"/>
          <w:i/>
          <w:w w:val="95"/>
          <w:sz w:val="24"/>
        </w:rPr>
        <w:t>𝐸𝑓𝑓𝑒𝑐𝑡𝑖𝑣𝑒 𝐶𝑜𝑛𝑐𝑒𝑛𝑡𝑟𝑎𝑡𝑖𝑜𝑛 </w:t>
      </w:r>
      <w:r>
        <w:rPr>
          <w:w w:val="95"/>
          <w:sz w:val="24"/>
        </w:rPr>
        <w:t>(</w:t>
      </w:r>
      <w:r>
        <w:rPr>
          <w:rFonts w:ascii="Cambria" w:eastAsia="Cambria"/>
          <w:i/>
          <w:w w:val="95"/>
          <w:sz w:val="24"/>
        </w:rPr>
        <w:t>𝜇𝑔𝐿</w:t>
      </w:r>
      <w:r>
        <w:rPr>
          <w:w w:val="95"/>
          <w:sz w:val="24"/>
        </w:rPr>
        <w:t>)= 4.7</w:t>
      </w:r>
    </w:p>
    <w:p>
      <w:pPr>
        <w:pStyle w:val="BodyText"/>
        <w:spacing w:before="240"/>
        <w:ind w:left="1360" w:right="1293"/>
        <w:jc w:val="both"/>
      </w:pPr>
      <w:r>
        <w:rPr/>
        <w:t>The same methodology is applied to the WLAs assigned to the Long Beach MS4 Permit and the results are added to obtain the concentration WQBELs for the Los Cerritos Channel Metals TMDL.</w:t>
      </w:r>
    </w:p>
    <w:p>
      <w:pPr>
        <w:pStyle w:val="BodyText"/>
        <w:spacing w:before="10"/>
        <w:rPr>
          <w:sz w:val="20"/>
        </w:rPr>
      </w:pPr>
    </w:p>
    <w:p>
      <w:pPr>
        <w:pStyle w:val="BodyText"/>
        <w:ind w:left="1360" w:right="1342" w:hanging="1080"/>
      </w:pPr>
      <w:r>
        <w:rPr/>
        <w:t>This methodology for determining effective concentrations is consistent with the assumptions and requirements of these TMDLs because the equations are the same as the WLA equations assigned by the TMDLs; the terms have merely been rearranged for ease of compliance determination.</w:t>
      </w:r>
    </w:p>
    <w:p>
      <w:pPr>
        <w:pStyle w:val="BodyText"/>
        <w:spacing w:before="10"/>
        <w:rPr>
          <w:sz w:val="20"/>
        </w:rPr>
      </w:pPr>
    </w:p>
    <w:p>
      <w:pPr>
        <w:pStyle w:val="Heading1"/>
        <w:ind w:left="280"/>
      </w:pPr>
      <w:r>
        <w:rPr/>
        <w:t>Los Cerritos Channel Bacteria TMDL</w:t>
      </w:r>
    </w:p>
    <w:p>
      <w:pPr>
        <w:pStyle w:val="BodyText"/>
        <w:ind w:left="1359" w:right="1530" w:hanging="1080"/>
      </w:pPr>
      <w:r>
        <w:rPr/>
        <w:t>The WLAs assigned to “any future enrollees under the Phase II MS4 permit, an individual NPDES permit, a general NPDES permit, the general industrial</w:t>
      </w:r>
    </w:p>
    <w:p>
      <w:pPr>
        <w:spacing w:after="0"/>
        <w:sectPr>
          <w:pgSz w:w="12240" w:h="15840"/>
          <w:pgMar w:header="728" w:footer="788" w:top="1540" w:bottom="980" w:left="1160" w:right="420"/>
        </w:sectPr>
      </w:pPr>
    </w:p>
    <w:p>
      <w:pPr>
        <w:pStyle w:val="BodyText"/>
        <w:spacing w:before="11"/>
        <w:rPr>
          <w:sz w:val="15"/>
        </w:rPr>
      </w:pPr>
    </w:p>
    <w:p>
      <w:pPr>
        <w:pStyle w:val="BodyText"/>
        <w:spacing w:before="92"/>
        <w:ind w:left="1360" w:right="1036"/>
      </w:pPr>
      <w:r>
        <w:rPr/>
        <w:t>stormwater permit, or the general construction stormwater permit” are incorporated into this Order as WQBELs. The WLAs and WQBELs are based on the updated multipart bacteria WQOs included in the Bacteria Provisions. Only the WLAs assigned as an STV are incorporated as WQBELs because there is insufficient sampling to demonstrate compliance with geometric mean WQBELs.</w:t>
      </w:r>
    </w:p>
    <w:p>
      <w:pPr>
        <w:pStyle w:val="BodyText"/>
        <w:spacing w:before="10"/>
        <w:rPr>
          <w:sz w:val="20"/>
        </w:rPr>
      </w:pPr>
    </w:p>
    <w:p>
      <w:pPr>
        <w:pStyle w:val="Heading1"/>
        <w:ind w:left="1360" w:right="1158" w:hanging="1080"/>
      </w:pPr>
      <w:r>
        <w:rPr/>
        <w:t>Colorado Lagoon Organochlorine (OC) Pesticides, PCBs, Sediment Toxicity, and Metals TMDL</w:t>
      </w:r>
    </w:p>
    <w:p>
      <w:pPr>
        <w:pStyle w:val="BodyText"/>
        <w:ind w:left="1360" w:right="1490" w:hanging="1080"/>
      </w:pPr>
      <w:r>
        <w:rPr/>
        <w:t>The compliance date for the WLAs has passed. The WLAs assigned to “other stormwater permittees” are incorporated into this Order as WQBELs. The WQBELs are applied as average monthly limits in accordance with TMDL implementation language.</w:t>
      </w:r>
    </w:p>
    <w:p>
      <w:pPr>
        <w:pStyle w:val="BodyText"/>
        <w:spacing w:before="10"/>
        <w:rPr>
          <w:sz w:val="20"/>
        </w:rPr>
      </w:pPr>
    </w:p>
    <w:p>
      <w:pPr>
        <w:pStyle w:val="Heading1"/>
        <w:numPr>
          <w:ilvl w:val="3"/>
          <w:numId w:val="33"/>
        </w:numPr>
        <w:tabs>
          <w:tab w:pos="1359" w:val="left" w:leader="none"/>
          <w:tab w:pos="1360" w:val="left" w:leader="none"/>
        </w:tabs>
        <w:spacing w:line="240" w:lineRule="auto" w:before="1" w:after="0"/>
        <w:ind w:left="1360" w:right="0" w:hanging="1080"/>
        <w:jc w:val="left"/>
      </w:pPr>
      <w:r>
        <w:rPr/>
        <w:t>Pollutants in 303(d) Listed</w:t>
      </w:r>
      <w:r>
        <w:rPr>
          <w:spacing w:val="-1"/>
        </w:rPr>
        <w:t> </w:t>
      </w:r>
      <w:r>
        <w:rPr/>
        <w:t>Waterbodies.</w:t>
      </w:r>
    </w:p>
    <w:p>
      <w:pPr>
        <w:pStyle w:val="BodyText"/>
        <w:spacing w:before="11"/>
        <w:rPr>
          <w:b/>
          <w:sz w:val="23"/>
        </w:rPr>
      </w:pPr>
    </w:p>
    <w:p>
      <w:pPr>
        <w:pStyle w:val="BodyText"/>
        <w:ind w:left="1360" w:right="1089"/>
      </w:pPr>
      <w:r>
        <w:rPr/>
        <w:t>Section 122.44(d)(1)(i) of 40 CFR requires that permits include effluent limitations for all pollutants that are or may be discharged at levels that have the reasonable potential to cause or contribute to an exceedance of a water quality standard in the receiving water. Section 303(d) of the CWA requires States to identify specific waterbodies that do not meet water quality standards. Certain receiving waters in the Dominguez Channel/Greater Los Angeles and Long Beach Harbor Watershed and the Los Cerritos Channel/Alamitos Bay Watershed are on the 2018 CWA 303(d) list of impaired waterbodies. Pollutants in these waterbodies for which TMDLs have not yet been developed include:</w:t>
      </w:r>
    </w:p>
    <w:p>
      <w:pPr>
        <w:pStyle w:val="BodyText"/>
        <w:spacing w:before="10"/>
        <w:rPr>
          <w:sz w:val="23"/>
        </w:rPr>
      </w:pPr>
    </w:p>
    <w:p>
      <w:pPr>
        <w:pStyle w:val="BodyText"/>
        <w:spacing w:before="1"/>
        <w:ind w:left="1360" w:right="1835"/>
      </w:pPr>
      <w:r>
        <w:rPr/>
        <w:t>Indicator bacteria in the Dominguez Channel and Dominguez Channel Estuary</w:t>
      </w:r>
    </w:p>
    <w:p>
      <w:pPr>
        <w:pStyle w:val="BodyText"/>
      </w:pPr>
    </w:p>
    <w:p>
      <w:pPr>
        <w:pStyle w:val="BodyText"/>
        <w:ind w:left="1360"/>
      </w:pPr>
      <w:r>
        <w:rPr/>
        <w:t>Dissolved oxygen in Alamitos Bay</w:t>
      </w:r>
    </w:p>
    <w:p>
      <w:pPr>
        <w:pStyle w:val="BodyText"/>
      </w:pPr>
    </w:p>
    <w:p>
      <w:pPr>
        <w:pStyle w:val="BodyText"/>
        <w:ind w:left="1360" w:right="1796"/>
      </w:pPr>
      <w:r>
        <w:rPr/>
        <w:t>Bis (2-ethylhexyl) phthalate, chlordane, trash, ammonia, and pH in Los Cerritos Channel.</w:t>
      </w:r>
    </w:p>
    <w:p>
      <w:pPr>
        <w:pStyle w:val="BodyText"/>
      </w:pPr>
    </w:p>
    <w:p>
      <w:pPr>
        <w:pStyle w:val="BodyText"/>
        <w:ind w:left="1359" w:right="1089"/>
      </w:pPr>
      <w:r>
        <w:rPr/>
        <w:t>In U.S. EPA’s residual designation, it determined that the CII facilities subject to this Order contribute to violations of water quality standards. Because the 303(d) list reflects the standards that have been violated, U.S. EPA’s residual designation implicitly applies to the specific pollutants on the 303(d) list.</w:t>
      </w:r>
    </w:p>
    <w:p>
      <w:pPr>
        <w:pStyle w:val="BodyText"/>
      </w:pPr>
    </w:p>
    <w:p>
      <w:pPr>
        <w:pStyle w:val="BodyText"/>
        <w:ind w:left="1359" w:right="1036"/>
      </w:pPr>
      <w:r>
        <w:rPr/>
        <w:t>In addition, as discussed in Section 2.3, both national and local land use studies demonstrate that CII facilities are a source of pollutants, such as TSS, bacteria, ammonia, pH, and PAHs, due to their high percentage of impervious surfaces.</w:t>
      </w:r>
    </w:p>
    <w:p>
      <w:pPr>
        <w:spacing w:after="0"/>
        <w:sectPr>
          <w:pgSz w:w="12240" w:h="15840"/>
          <w:pgMar w:header="728" w:footer="788" w:top="1540" w:bottom="980" w:left="1160" w:right="420"/>
        </w:sectPr>
      </w:pPr>
    </w:p>
    <w:p>
      <w:pPr>
        <w:pStyle w:val="BodyText"/>
        <w:spacing w:before="11"/>
        <w:rPr>
          <w:sz w:val="15"/>
        </w:rPr>
      </w:pPr>
    </w:p>
    <w:p>
      <w:pPr>
        <w:pStyle w:val="BodyText"/>
        <w:spacing w:before="92"/>
        <w:ind w:left="1359" w:right="1039"/>
      </w:pPr>
      <w:r>
        <w:rPr/>
        <w:t>Therefore, this Order determines that there is a reasonable potential for discharges from CII facilities to contribute to violations of the standards for the 303(d)-listed pollutants: chlordane, bis (2-ethylhexyl) phthalate, ammonia, bacteria, and pH.</w:t>
      </w:r>
    </w:p>
    <w:p>
      <w:pPr>
        <w:pStyle w:val="BodyText"/>
      </w:pPr>
    </w:p>
    <w:p>
      <w:pPr>
        <w:pStyle w:val="BodyText"/>
        <w:ind w:left="1360" w:right="1168"/>
      </w:pPr>
      <w:r>
        <w:rPr/>
        <w:t>This Order assigns prohibitions or numeric WQBELs for the 303(d)-listed pollutants consistent with U.S. EPA guidance (2014 Memo). The numeric WQBELs are feasible to calculate because they are based on numeric water quality objectives and criteria. The numeric WQBELs are also clear, measurable, and will ensure that impaired waterbodies are restored to their beneficial uses.</w:t>
      </w:r>
    </w:p>
    <w:p>
      <w:pPr>
        <w:pStyle w:val="BodyText"/>
      </w:pPr>
    </w:p>
    <w:p>
      <w:pPr>
        <w:pStyle w:val="BodyText"/>
        <w:spacing w:before="1"/>
        <w:ind w:left="1359" w:right="1054"/>
      </w:pPr>
      <w:r>
        <w:rPr/>
        <w:t>This Order establishes numeric WQBELs for bis (2-ethylhexyl) phthalate and chlordane based on CTR water quality criteria for protection of human health (consumption of organisms). The Order establishes numeric WQBELs for ammonia based on the 1-hr water quality objectives for ammonia in the Basin Plan. The Order establishes numeric WQBELs for pH based on the water quality objective for pH in the Basin Plan; an instantaneous minimum limitation of 6.5 and an instantaneous maximum limitation of 8.5 for pH are included. The Order establishes numeric WQBELs for bacteria based on the water quality objectives in the Bacteria Provisions. The impairment for trash is addressed through a prohibition in accordance with the Trash</w:t>
      </w:r>
      <w:r>
        <w:rPr>
          <w:spacing w:val="-25"/>
        </w:rPr>
        <w:t> </w:t>
      </w:r>
      <w:r>
        <w:rPr/>
        <w:t>Provisions.</w:t>
      </w:r>
    </w:p>
    <w:p>
      <w:pPr>
        <w:pStyle w:val="BodyText"/>
        <w:spacing w:before="10"/>
        <w:rPr>
          <w:sz w:val="23"/>
        </w:rPr>
      </w:pPr>
    </w:p>
    <w:p>
      <w:pPr>
        <w:pStyle w:val="BodyText"/>
        <w:ind w:left="1359" w:right="1530"/>
      </w:pPr>
      <w:r>
        <w:rPr/>
        <w:t>An effluent limit is not established for dissolved oxygen to address the dissolved oxygen listing in Alamitos Bay. Dissolved oxygen is a response indicator and is not discharged by any source but is rather caused by the discharge of other pollutants and environmental conditions.</w:t>
      </w:r>
    </w:p>
    <w:p>
      <w:pPr>
        <w:pStyle w:val="BodyText"/>
        <w:spacing w:before="10"/>
        <w:rPr>
          <w:sz w:val="20"/>
        </w:rPr>
      </w:pPr>
    </w:p>
    <w:p>
      <w:pPr>
        <w:pStyle w:val="Heading1"/>
        <w:numPr>
          <w:ilvl w:val="1"/>
          <w:numId w:val="30"/>
        </w:numPr>
        <w:tabs>
          <w:tab w:pos="871" w:val="left" w:leader="none"/>
        </w:tabs>
        <w:spacing w:line="240" w:lineRule="auto" w:before="0" w:after="0"/>
        <w:ind w:left="870" w:right="0" w:hanging="592"/>
        <w:jc w:val="left"/>
      </w:pPr>
      <w:r>
        <w:rPr/>
        <w:t>Stringency of Requirements for Individual</w:t>
      </w:r>
      <w:r>
        <w:rPr>
          <w:spacing w:val="-2"/>
        </w:rPr>
        <w:t> </w:t>
      </w:r>
      <w:r>
        <w:rPr/>
        <w:t>Pollutants.</w:t>
      </w:r>
    </w:p>
    <w:p>
      <w:pPr>
        <w:pStyle w:val="BodyText"/>
        <w:rPr>
          <w:b/>
        </w:rPr>
      </w:pPr>
    </w:p>
    <w:p>
      <w:pPr>
        <w:pStyle w:val="BodyText"/>
        <w:ind w:left="870" w:right="1032"/>
      </w:pPr>
      <w:r>
        <w:rPr/>
        <w:t>This Order contains both technology-based and water quality-based effluent limitations for individual pollutants. This Order’s technology-based pollutant restrictions implement the minimum, applicable federal technology-based requirements. These limitations are not more stringent than required by the CWA. Water quality-based effluent limitations have been derived to implement water quality objectives that protect beneficial uses. Both the beneficial uses and the water quality objectives have been approved pursuant to federal law and are applicable to federal water quality standards. Most beneficial uses and water quality objectives contained in the Basin Plan were approved under state law and submitted to and approved by USEPA prior to May 30, 2000. Any water quality objectives and beneficial uses submitted to USEPA prior to May 30, 2000, but not approved by USEPA before that date, are nonetheless “applicable water quality standards for purposes of the CWA” pursuant to 40 CFR section 131.21(c)(1). The remaining water quality objectives and beneficial uses implemented by this Order were approved by USEPA and are applicable water quality standards pursuant to</w:t>
      </w:r>
    </w:p>
    <w:p>
      <w:pPr>
        <w:spacing w:after="0"/>
        <w:sectPr>
          <w:pgSz w:w="12240" w:h="15840"/>
          <w:pgMar w:header="728" w:footer="788" w:top="1540" w:bottom="980" w:left="1160" w:right="420"/>
        </w:sectPr>
      </w:pPr>
    </w:p>
    <w:p>
      <w:pPr>
        <w:pStyle w:val="BodyText"/>
        <w:spacing w:before="11"/>
        <w:rPr>
          <w:sz w:val="15"/>
        </w:rPr>
      </w:pPr>
    </w:p>
    <w:p>
      <w:pPr>
        <w:pStyle w:val="BodyText"/>
        <w:spacing w:before="92"/>
        <w:ind w:left="870" w:right="1206"/>
      </w:pPr>
      <w:r>
        <w:rPr/>
        <w:t>section 131.21(c)(2). Collectively, this Order’s restrictions on individual pollutants are no more stringent than required to implement the requirements of the CWA.</w:t>
      </w:r>
    </w:p>
    <w:p>
      <w:pPr>
        <w:pStyle w:val="BodyText"/>
        <w:spacing w:before="10"/>
        <w:rPr>
          <w:sz w:val="20"/>
        </w:rPr>
      </w:pPr>
    </w:p>
    <w:p>
      <w:pPr>
        <w:pStyle w:val="Heading1"/>
        <w:numPr>
          <w:ilvl w:val="1"/>
          <w:numId w:val="30"/>
        </w:numPr>
        <w:tabs>
          <w:tab w:pos="871" w:val="left" w:leader="none"/>
        </w:tabs>
        <w:spacing w:line="240" w:lineRule="auto" w:before="0" w:after="0"/>
        <w:ind w:left="870" w:right="0" w:hanging="592"/>
        <w:jc w:val="left"/>
      </w:pPr>
      <w:r>
        <w:rPr/>
        <w:t>Antidegradation</w:t>
      </w:r>
      <w:r>
        <w:rPr>
          <w:spacing w:val="-1"/>
        </w:rPr>
        <w:t> </w:t>
      </w:r>
      <w:r>
        <w:rPr/>
        <w:t>Analysis.</w:t>
      </w:r>
    </w:p>
    <w:p>
      <w:pPr>
        <w:pStyle w:val="BodyText"/>
        <w:rPr>
          <w:b/>
        </w:rPr>
      </w:pPr>
    </w:p>
    <w:p>
      <w:pPr>
        <w:pStyle w:val="BodyText"/>
        <w:ind w:left="870" w:right="1092"/>
      </w:pPr>
      <w:r>
        <w:rPr/>
        <w:t>Federal regulations at 40 CFR section 131.12 require that state water quality standards include an antidegradation policy consistent with federal requirements. The State Water Board established California’s antidegradation policy in State Water Board Resolution No. 68-16 (“Statement of Policy with Respect to Maintaining High Quality of Waters in California”). Where the federal antidegradation policy is applicable, the State Water Board has interpreted Resolution No. 68-16 to incorporate the federal antidegradation policy.</w:t>
      </w:r>
      <w:r>
        <w:rPr>
          <w:position w:val="8"/>
          <w:sz w:val="16"/>
        </w:rPr>
        <w:t>73 </w:t>
      </w:r>
      <w:r>
        <w:rPr/>
        <w:t>The permitted discharge must be consistent with the antidegradation provision of 40 CFR section 131.12 and State Water Board Resolution No. 68-16. Resolution No. 68-16 and 40 CFR section 131.12 require that high quality waters be maintained unless degradation is justified based on specific findings. The Los Angeles Water Board finds that the permitted discharges authorized by this Order are consistent with the antidegradation provision of 40 CFR section 131.12 and State Water Board Resolution No. 68-16, as set forth herein.</w:t>
      </w:r>
    </w:p>
    <w:p>
      <w:pPr>
        <w:pStyle w:val="BodyText"/>
        <w:spacing w:before="7"/>
        <w:rPr>
          <w:sz w:val="23"/>
        </w:rPr>
      </w:pPr>
    </w:p>
    <w:p>
      <w:pPr>
        <w:pStyle w:val="BodyText"/>
        <w:ind w:left="870" w:right="1023"/>
      </w:pPr>
      <w:r>
        <w:rPr/>
        <w:t>In the context of this general NPDES permit, compliance with the federal antidegradation policy requires consideration of the following. First, the Los Angeles Water Board must ensure that “existing instream uses and the level of water quality necessary to protect the existing uses” are maintained and protected.</w:t>
      </w:r>
      <w:r>
        <w:rPr>
          <w:position w:val="8"/>
          <w:sz w:val="16"/>
        </w:rPr>
        <w:t>74 </w:t>
      </w:r>
      <w:r>
        <w:rPr/>
        <w:t>Second, if the baseline quality of a waterbody for a given constituent “exceeds levels necessary to support propagation of fish, shellfish, and wildlife and recreation in and on the water, that quality shall be maintained and protected” through the requirements of the Order unless the Los Angeles Water Board makes findings that: (1) any lowering of the water quality is “necessary to accommodate important economic or social development in the area in which the waters are located”;</w:t>
      </w:r>
      <w:r>
        <w:rPr>
          <w:spacing w:val="-4"/>
        </w:rPr>
        <w:t> </w:t>
      </w:r>
      <w:r>
        <w:rPr/>
        <w:t>(2)</w:t>
      </w:r>
      <w:r>
        <w:rPr>
          <w:spacing w:val="-5"/>
        </w:rPr>
        <w:t> </w:t>
      </w:r>
      <w:r>
        <w:rPr/>
        <w:t>“water</w:t>
      </w:r>
      <w:r>
        <w:rPr>
          <w:spacing w:val="-4"/>
        </w:rPr>
        <w:t> </w:t>
      </w:r>
      <w:r>
        <w:rPr/>
        <w:t>quality</w:t>
      </w:r>
      <w:r>
        <w:rPr>
          <w:spacing w:val="-4"/>
        </w:rPr>
        <w:t> </w:t>
      </w:r>
      <w:r>
        <w:rPr/>
        <w:t>adequate</w:t>
      </w:r>
      <w:r>
        <w:rPr>
          <w:spacing w:val="-4"/>
        </w:rPr>
        <w:t> </w:t>
      </w:r>
      <w:r>
        <w:rPr/>
        <w:t>to</w:t>
      </w:r>
      <w:r>
        <w:rPr>
          <w:spacing w:val="-4"/>
        </w:rPr>
        <w:t> </w:t>
      </w:r>
      <w:r>
        <w:rPr/>
        <w:t>protect</w:t>
      </w:r>
      <w:r>
        <w:rPr>
          <w:spacing w:val="-4"/>
        </w:rPr>
        <w:t> </w:t>
      </w:r>
      <w:r>
        <w:rPr/>
        <w:t>existing</w:t>
      </w:r>
      <w:r>
        <w:rPr>
          <w:spacing w:val="-4"/>
        </w:rPr>
        <w:t> </w:t>
      </w:r>
      <w:r>
        <w:rPr/>
        <w:t>uses</w:t>
      </w:r>
      <w:r>
        <w:rPr>
          <w:spacing w:val="-4"/>
        </w:rPr>
        <w:t> </w:t>
      </w:r>
      <w:r>
        <w:rPr/>
        <w:t>fully”</w:t>
      </w:r>
      <w:r>
        <w:rPr>
          <w:spacing w:val="-4"/>
        </w:rPr>
        <w:t> </w:t>
      </w:r>
      <w:r>
        <w:rPr/>
        <w:t>is</w:t>
      </w:r>
      <w:r>
        <w:rPr>
          <w:spacing w:val="-4"/>
        </w:rPr>
        <w:t> </w:t>
      </w:r>
      <w:r>
        <w:rPr/>
        <w:t>ensured;</w:t>
      </w:r>
      <w:r>
        <w:rPr>
          <w:spacing w:val="-4"/>
        </w:rPr>
        <w:t> </w:t>
      </w:r>
      <w:r>
        <w:rPr/>
        <w:t>and</w:t>
      </w:r>
    </w:p>
    <w:p>
      <w:pPr>
        <w:pStyle w:val="BodyText"/>
        <w:ind w:left="870" w:right="1005"/>
      </w:pPr>
      <w:r>
        <w:rPr/>
        <w:t>(3) “the highest statutory and regulatory requirements for all new and existing point sources and all cost-effective and reasonable best management practices for</w:t>
      </w:r>
    </w:p>
    <w:p>
      <w:pPr>
        <w:pStyle w:val="BodyText"/>
        <w:rPr>
          <w:sz w:val="20"/>
        </w:rPr>
      </w:pPr>
    </w:p>
    <w:p>
      <w:pPr>
        <w:pStyle w:val="BodyText"/>
        <w:rPr>
          <w:sz w:val="20"/>
        </w:rPr>
      </w:pPr>
    </w:p>
    <w:p>
      <w:pPr>
        <w:pStyle w:val="BodyText"/>
        <w:spacing w:before="5"/>
        <w:rPr>
          <w:sz w:val="20"/>
        </w:rPr>
      </w:pPr>
      <w:r>
        <w:rPr/>
        <w:pict>
          <v:shape style="position:absolute;margin-left:72pt;margin-top:14.032045pt;width:144pt;height:.1pt;mso-position-horizontal-relative:page;mso-position-vertical-relative:paragraph;z-index:-251626496;mso-wrap-distance-left:0;mso-wrap-distance-right:0" coordorigin="1440,281" coordsize="2880,0" path="m1440,281l4320,281e" filled="false" stroked="true" strokeweight=".600010pt" strokecolor="#000000">
            <v:path arrowok="t"/>
            <v:stroke dashstyle="solid"/>
            <w10:wrap type="topAndBottom"/>
          </v:shape>
        </w:pict>
      </w:r>
    </w:p>
    <w:p>
      <w:pPr>
        <w:pStyle w:val="BodyText"/>
        <w:rPr>
          <w:sz w:val="20"/>
        </w:rPr>
      </w:pPr>
    </w:p>
    <w:p>
      <w:pPr>
        <w:pStyle w:val="BodyText"/>
        <w:spacing w:before="5"/>
        <w:rPr>
          <w:sz w:val="22"/>
        </w:rPr>
      </w:pPr>
    </w:p>
    <w:p>
      <w:pPr>
        <w:pStyle w:val="BodyText"/>
        <w:spacing w:before="95"/>
        <w:ind w:left="280"/>
      </w:pPr>
      <w:r>
        <w:rPr>
          <w:position w:val="8"/>
          <w:sz w:val="16"/>
        </w:rPr>
        <w:t>73 </w:t>
      </w:r>
      <w:r>
        <w:rPr/>
        <w:t>State Water Board Order WQ 86-17 </w:t>
      </w:r>
      <w:r>
        <w:rPr>
          <w:i/>
        </w:rPr>
        <w:t>(Fay)</w:t>
      </w:r>
      <w:r>
        <w:rPr/>
        <w:t>, pp. 16-19.</w:t>
      </w:r>
    </w:p>
    <w:p>
      <w:pPr>
        <w:pStyle w:val="BodyText"/>
        <w:spacing w:before="235"/>
        <w:ind w:left="279" w:right="1115"/>
      </w:pPr>
      <w:r>
        <w:rPr>
          <w:position w:val="8"/>
          <w:sz w:val="16"/>
        </w:rPr>
        <w:t>74 </w:t>
      </w:r>
      <w:r>
        <w:rPr/>
        <w:t>40 CFR § 131.12(a)(1). This provision has been interpreted to mean that, “[i]f baseline water quality is equal to or less than the quality as defined by the water quality objective, water quality shall be maintained or improved to a level that achieves the objectives.” (State Water Board, Administrative Procedures Update, Antidegradation Policy Implementation for NPDES Permitting, 90-004 (APU 90-004), p. 4.)</w:t>
      </w:r>
    </w:p>
    <w:p>
      <w:pPr>
        <w:spacing w:after="0"/>
        <w:sectPr>
          <w:pgSz w:w="12240" w:h="15840"/>
          <w:pgMar w:header="728" w:footer="788" w:top="1540" w:bottom="980" w:left="1160" w:right="420"/>
        </w:sectPr>
      </w:pPr>
    </w:p>
    <w:p>
      <w:pPr>
        <w:pStyle w:val="BodyText"/>
        <w:spacing w:before="3"/>
        <w:rPr>
          <w:sz w:val="15"/>
        </w:rPr>
      </w:pPr>
    </w:p>
    <w:p>
      <w:pPr>
        <w:pStyle w:val="BodyText"/>
        <w:spacing w:before="95"/>
        <w:ind w:left="870" w:right="1298"/>
        <w:rPr>
          <w:sz w:val="16"/>
        </w:rPr>
      </w:pPr>
      <w:r>
        <w:rPr/>
        <w:t>nonpoint source control” are achieved.</w:t>
      </w:r>
      <w:r>
        <w:rPr>
          <w:position w:val="8"/>
          <w:sz w:val="16"/>
        </w:rPr>
        <w:t>75 </w:t>
      </w:r>
      <w:r>
        <w:rPr/>
        <w:t>Before allowing any lowering of high quality water, the Board must conduct an analysis of alternatives that evaluates practicable alternatives that would prevent or lessen the degradation associated with the discharges permitted. In the context of 40 CFR § 131.12(a)(2)(ii), practicable means “technologically possible, able to be put into practice, and economically viable.”</w:t>
      </w:r>
      <w:r>
        <w:rPr>
          <w:position w:val="8"/>
          <w:sz w:val="16"/>
        </w:rPr>
        <w:t>76</w:t>
      </w:r>
    </w:p>
    <w:p>
      <w:pPr>
        <w:pStyle w:val="BodyText"/>
        <w:spacing w:before="7"/>
        <w:rPr>
          <w:sz w:val="23"/>
        </w:rPr>
      </w:pPr>
    </w:p>
    <w:p>
      <w:pPr>
        <w:pStyle w:val="BodyText"/>
        <w:ind w:left="870" w:right="1034"/>
      </w:pPr>
      <w:r>
        <w:rPr/>
        <w:t>The Order must also comply with any requirements of State Water Board Resolution No. 68-16 beyond those imposed through incorporation of the federal antidegradation policy.</w:t>
      </w:r>
      <w:r>
        <w:rPr>
          <w:position w:val="8"/>
          <w:sz w:val="16"/>
        </w:rPr>
        <w:t>77 </w:t>
      </w:r>
      <w:r>
        <w:rPr/>
        <w:t>Resolution No. 68-16 requires findings that any lowering of water quality is “consistent with the maximum benefit to the people of the State” and “will not unreasonably affect present and anticipated beneficial use of such water and will not result in water quality less than that prescribed in the policies” and further that the discharge is subject to “waste discharge requirements which will result in the best practicable treatment or control of the discharge.”</w:t>
      </w:r>
      <w:r>
        <w:rPr>
          <w:position w:val="8"/>
          <w:sz w:val="16"/>
        </w:rPr>
        <w:t>78 </w:t>
      </w:r>
      <w:r>
        <w:rPr/>
        <w:t>The baseline quality considered in making the appropriate findings is the best quality of the water since 1968, the year of adoption of Resolution No. 68-16, or a lower level if that lower level was allowed through a permitting or other regulatory action, such as establishing a water quality objective, that was consistent with the</w:t>
      </w:r>
      <w:r>
        <w:rPr>
          <w:spacing w:val="-38"/>
        </w:rPr>
        <w:t> </w:t>
      </w:r>
      <w:r>
        <w:rPr/>
        <w:t>federal</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11"/>
        </w:rPr>
      </w:pPr>
      <w:r>
        <w:rPr/>
        <w:pict>
          <v:shape style="position:absolute;margin-left:72pt;margin-top:8.672686pt;width:144pt;height:.1pt;mso-position-horizontal-relative:page;mso-position-vertical-relative:paragraph;z-index:-251625472;mso-wrap-distance-left:0;mso-wrap-distance-right:0" coordorigin="1440,173" coordsize="2880,0" path="m1440,173l4320,173e" filled="false" stroked="true" strokeweight=".599980pt" strokecolor="#000000">
            <v:path arrowok="t"/>
            <v:stroke dashstyle="solid"/>
            <w10:wrap type="topAndBottom"/>
          </v:shape>
        </w:pict>
      </w:r>
    </w:p>
    <w:p>
      <w:pPr>
        <w:pStyle w:val="BodyText"/>
        <w:rPr>
          <w:sz w:val="20"/>
        </w:rPr>
      </w:pPr>
    </w:p>
    <w:p>
      <w:pPr>
        <w:pStyle w:val="BodyText"/>
        <w:spacing w:before="5"/>
        <w:rPr>
          <w:sz w:val="22"/>
        </w:rPr>
      </w:pPr>
    </w:p>
    <w:p>
      <w:pPr>
        <w:pStyle w:val="BodyText"/>
        <w:spacing w:before="95"/>
        <w:ind w:left="280"/>
      </w:pPr>
      <w:r>
        <w:rPr>
          <w:position w:val="8"/>
          <w:sz w:val="16"/>
        </w:rPr>
        <w:t>75 </w:t>
      </w:r>
      <w:r>
        <w:rPr/>
        <w:t>40 CFR § 131.12(a)(2).</w:t>
      </w:r>
    </w:p>
    <w:p>
      <w:pPr>
        <w:pStyle w:val="BodyText"/>
        <w:spacing w:before="235"/>
        <w:ind w:left="280"/>
      </w:pPr>
      <w:r>
        <w:rPr>
          <w:position w:val="8"/>
          <w:sz w:val="16"/>
        </w:rPr>
        <w:t>76 </w:t>
      </w:r>
      <w:r>
        <w:rPr/>
        <w:t>40 CFR § 131.3(n).</w:t>
      </w:r>
    </w:p>
    <w:p>
      <w:pPr>
        <w:pStyle w:val="BodyText"/>
        <w:spacing w:before="235"/>
        <w:ind w:left="280"/>
      </w:pPr>
      <w:r>
        <w:rPr>
          <w:position w:val="8"/>
          <w:sz w:val="16"/>
        </w:rPr>
        <w:t>77 </w:t>
      </w:r>
      <w:r>
        <w:rPr/>
        <w:t>See State Water Board Order WQ 86-17 (</w:t>
      </w:r>
      <w:r>
        <w:rPr>
          <w:i/>
        </w:rPr>
        <w:t>Fay)</w:t>
      </w:r>
      <w:r>
        <w:rPr/>
        <w:t>, p. 23, fn. 11.</w:t>
      </w:r>
    </w:p>
    <w:p>
      <w:pPr>
        <w:pStyle w:val="BodyText"/>
        <w:tabs>
          <w:tab w:pos="3602" w:val="left" w:leader="dot"/>
        </w:tabs>
        <w:spacing w:before="235"/>
        <w:ind w:left="279" w:right="1035"/>
      </w:pPr>
      <w:r>
        <w:rPr>
          <w:position w:val="8"/>
          <w:sz w:val="16"/>
        </w:rPr>
        <w:t>78 </w:t>
      </w:r>
      <w:r>
        <w:rPr/>
        <w:t>State Water Board Resolution No. 68-16, Resolve 2. Best practicable treatment or control is not defined in Resolution No. 68-16; however, the State Water Board has evaluated</w:t>
      </w:r>
      <w:r>
        <w:rPr>
          <w:spacing w:val="-6"/>
        </w:rPr>
        <w:t> </w:t>
      </w:r>
      <w:r>
        <w:rPr/>
        <w:t>what</w:t>
      </w:r>
      <w:r>
        <w:rPr>
          <w:spacing w:val="-5"/>
        </w:rPr>
        <w:t> </w:t>
      </w:r>
      <w:r>
        <w:rPr/>
        <w:t>level</w:t>
      </w:r>
      <w:r>
        <w:rPr>
          <w:spacing w:val="-5"/>
        </w:rPr>
        <w:t> </w:t>
      </w:r>
      <w:r>
        <w:rPr/>
        <w:t>of</w:t>
      </w:r>
      <w:r>
        <w:rPr>
          <w:spacing w:val="-5"/>
        </w:rPr>
        <w:t> </w:t>
      </w:r>
      <w:r>
        <w:rPr/>
        <w:t>treatment</w:t>
      </w:r>
      <w:r>
        <w:rPr>
          <w:spacing w:val="-5"/>
        </w:rPr>
        <w:t> </w:t>
      </w:r>
      <w:r>
        <w:rPr/>
        <w:t>or</w:t>
      </w:r>
      <w:r>
        <w:rPr>
          <w:spacing w:val="-5"/>
        </w:rPr>
        <w:t> </w:t>
      </w:r>
      <w:r>
        <w:rPr/>
        <w:t>control</w:t>
      </w:r>
      <w:r>
        <w:rPr>
          <w:spacing w:val="-5"/>
        </w:rPr>
        <w:t> </w:t>
      </w:r>
      <w:r>
        <w:rPr/>
        <w:t>is</w:t>
      </w:r>
      <w:r>
        <w:rPr>
          <w:spacing w:val="-5"/>
        </w:rPr>
        <w:t> </w:t>
      </w:r>
      <w:r>
        <w:rPr/>
        <w:t>technically</w:t>
      </w:r>
      <w:r>
        <w:rPr>
          <w:spacing w:val="-5"/>
        </w:rPr>
        <w:t> </w:t>
      </w:r>
      <w:r>
        <w:rPr/>
        <w:t>achievable</w:t>
      </w:r>
      <w:r>
        <w:rPr>
          <w:spacing w:val="-6"/>
        </w:rPr>
        <w:t> </w:t>
      </w:r>
      <w:r>
        <w:rPr/>
        <w:t>using</w:t>
      </w:r>
      <w:r>
        <w:rPr>
          <w:spacing w:val="-5"/>
        </w:rPr>
        <w:t> </w:t>
      </w:r>
      <w:r>
        <w:rPr/>
        <w:t>“best</w:t>
      </w:r>
      <w:r>
        <w:rPr>
          <w:spacing w:val="-5"/>
        </w:rPr>
        <w:t> </w:t>
      </w:r>
      <w:r>
        <w:rPr/>
        <w:t>efforts.” (See State Water Board Orders WQ 81-5 (</w:t>
      </w:r>
      <w:r>
        <w:rPr>
          <w:i/>
        </w:rPr>
        <w:t>City of Lompoc</w:t>
      </w:r>
      <w:r>
        <w:rPr/>
        <w:t>), WQ 82-5 (</w:t>
      </w:r>
      <w:r>
        <w:rPr>
          <w:i/>
        </w:rPr>
        <w:t>Chino Basin </w:t>
      </w:r>
      <w:r>
        <w:rPr>
          <w:i/>
        </w:rPr>
        <w:t>Municipal Water District)</w:t>
      </w:r>
      <w:r>
        <w:rPr/>
        <w:t>, WQ 90-6 (</w:t>
      </w:r>
      <w:r>
        <w:rPr>
          <w:i/>
        </w:rPr>
        <w:t>Environmental Resources Protection Council</w:t>
      </w:r>
      <w:r>
        <w:rPr/>
        <w:t>).) A Questions and Answers document on Resolution No. 68-16 by the State Water Board states as follows: “To evaluate the best practicable treatment or control method, the discharger should compare the proposed method to existing proven technology; evaluate performance data, e.g. through treatability studies; compare alternative methods of treatment or control; and/or consider the method currently used by the discharger or similarly situated dischargers . . .The costs of the treatment or control should also</w:t>
      </w:r>
      <w:r>
        <w:rPr>
          <w:spacing w:val="-2"/>
        </w:rPr>
        <w:t> </w:t>
      </w:r>
      <w:r>
        <w:rPr/>
        <w:t>be</w:t>
      </w:r>
      <w:r>
        <w:rPr>
          <w:spacing w:val="-1"/>
        </w:rPr>
        <w:t> </w:t>
      </w:r>
      <w:r>
        <w:rPr/>
        <w:t>considered</w:t>
        <w:tab/>
        <w:t>” (Questions and Answers, Resolution No. 68-16,</w:t>
      </w:r>
      <w:r>
        <w:rPr>
          <w:spacing w:val="-17"/>
        </w:rPr>
        <w:t> </w:t>
      </w:r>
      <w:r>
        <w:rPr/>
        <w:t>State</w:t>
      </w:r>
    </w:p>
    <w:p>
      <w:pPr>
        <w:pStyle w:val="BodyText"/>
        <w:spacing w:before="1"/>
        <w:ind w:left="280"/>
      </w:pPr>
      <w:r>
        <w:rPr/>
        <w:t>Water Board (Feb. 16, 1995), pp. 5-6.)</w:t>
      </w:r>
    </w:p>
    <w:p>
      <w:pPr>
        <w:spacing w:after="0"/>
        <w:sectPr>
          <w:pgSz w:w="12240" w:h="15840"/>
          <w:pgMar w:header="728" w:footer="788" w:top="1540" w:bottom="980" w:left="1160" w:right="420"/>
        </w:sectPr>
      </w:pPr>
    </w:p>
    <w:p>
      <w:pPr>
        <w:pStyle w:val="BodyText"/>
        <w:spacing w:before="3"/>
        <w:rPr>
          <w:sz w:val="15"/>
        </w:rPr>
      </w:pPr>
    </w:p>
    <w:p>
      <w:pPr>
        <w:pStyle w:val="BodyText"/>
        <w:spacing w:line="235" w:lineRule="auto" w:before="100"/>
        <w:ind w:left="870" w:right="1035"/>
        <w:rPr>
          <w:sz w:val="16"/>
        </w:rPr>
      </w:pPr>
      <w:r>
        <w:rPr/>
        <w:t>and state antidegradation policies.</w:t>
      </w:r>
      <w:r>
        <w:rPr>
          <w:position w:val="8"/>
          <w:sz w:val="16"/>
        </w:rPr>
        <w:t>79 </w:t>
      </w:r>
      <w:r>
        <w:rPr/>
        <w:t>The following analysis assumes, without deciding, that the baseline for antidegradation analysis is 1968.</w:t>
      </w:r>
      <w:r>
        <w:rPr>
          <w:position w:val="8"/>
          <w:sz w:val="16"/>
        </w:rPr>
        <w:t>80</w:t>
      </w:r>
    </w:p>
    <w:p>
      <w:pPr>
        <w:pStyle w:val="Heading1"/>
        <w:spacing w:before="241"/>
        <w:ind w:right="1480" w:hanging="591"/>
      </w:pPr>
      <w:r>
        <w:rPr/>
        <w:t>The Board Is Not Required to Make Waterbody by Waterbody and Pollutant by Pollutant Antidegradation Findings:</w:t>
      </w:r>
    </w:p>
    <w:p>
      <w:pPr>
        <w:pStyle w:val="BodyText"/>
        <w:ind w:left="870" w:right="1034" w:hanging="591"/>
      </w:pPr>
      <w:r>
        <w:rPr/>
        <w:t>The Los Angeles Water Board finds that it is not required to conduct a waterbody by waterbody and pollutant by pollutant antidegradation analysis for this Order. The State Water Board makes this finding for two reasons. First, the Administrative Procedures Update, Antidegradation Policy Implementation for NPDES Permitting, 90-004 (APU 90-004), which specifies a waterbody by waterbody and pollutant by pollutant analysis for some permitting actions, does not address permitting for diffuse stormwater discharges. Second, APU 90-004 itself indicates that a waterbody by waterbody and pollutant by pollutant analysis is only required when conducting a “complete” antidegradation analysis; a complete analysis, in turn, is not required where any “reduction in water quality is temporally limited and would not result in any long-term deleterious effects on water quality.”</w:t>
      </w:r>
      <w:r>
        <w:rPr>
          <w:position w:val="8"/>
          <w:sz w:val="16"/>
        </w:rPr>
        <w:t>81 </w:t>
      </w:r>
      <w:r>
        <w:rPr/>
        <w:t>Here, the permit requires compliance with a non-stormwater discharge prohibition, receiving water limitations, and water quality-based effluent limits designed to bring discharges and receiving waters into compliance with water quality objectives. The discussion below elaborates on these two</w:t>
      </w:r>
      <w:r>
        <w:rPr>
          <w:spacing w:val="-2"/>
        </w:rPr>
        <w:t> </w:t>
      </w:r>
      <w:r>
        <w:rPr/>
        <w:t>reasons.</w:t>
      </w:r>
    </w:p>
    <w:p>
      <w:pPr>
        <w:pStyle w:val="BodyText"/>
        <w:spacing w:before="6"/>
        <w:rPr>
          <w:sz w:val="20"/>
        </w:rPr>
      </w:pPr>
    </w:p>
    <w:p>
      <w:pPr>
        <w:pStyle w:val="BodyText"/>
        <w:ind w:left="870" w:right="1085" w:hanging="591"/>
      </w:pPr>
      <w:r>
        <w:rPr/>
        <w:t>APU 90-004 is a State Water Board internal guidance document establishing methods for implementing the federal and state antidegradation policies in NPDES permits. APU 90-004 suggests that an antidegradation analysis requires a pollutant by pollutant and waterbody by waterbody analysis in certain contexts, specifically where the discharge at issue is a discrete discharge from a singular facility, such</w:t>
      </w:r>
    </w:p>
    <w:p>
      <w:pPr>
        <w:pStyle w:val="BodyText"/>
        <w:spacing w:before="1"/>
        <w:rPr>
          <w:sz w:val="19"/>
        </w:rPr>
      </w:pPr>
      <w:r>
        <w:rPr/>
        <w:pict>
          <v:shape style="position:absolute;margin-left:72pt;margin-top:13.249688pt;width:144pt;height:.1pt;mso-position-horizontal-relative:page;mso-position-vertical-relative:paragraph;z-index:-251624448;mso-wrap-distance-left:0;mso-wrap-distance-right:0" coordorigin="1440,265" coordsize="2880,0" path="m1440,265l4320,265e" filled="false" stroked="true" strokeweight=".599980pt" strokecolor="#000000">
            <v:path arrowok="t"/>
            <v:stroke dashstyle="solid"/>
            <w10:wrap type="topAndBottom"/>
          </v:shape>
        </w:pict>
      </w:r>
    </w:p>
    <w:p>
      <w:pPr>
        <w:pStyle w:val="BodyText"/>
        <w:rPr>
          <w:sz w:val="20"/>
        </w:rPr>
      </w:pPr>
    </w:p>
    <w:p>
      <w:pPr>
        <w:pStyle w:val="BodyText"/>
        <w:spacing w:before="5"/>
        <w:rPr>
          <w:sz w:val="22"/>
        </w:rPr>
      </w:pPr>
    </w:p>
    <w:p>
      <w:pPr>
        <w:pStyle w:val="BodyText"/>
        <w:spacing w:before="95"/>
        <w:ind w:left="279" w:right="1111"/>
      </w:pPr>
      <w:r>
        <w:rPr>
          <w:position w:val="8"/>
          <w:sz w:val="16"/>
        </w:rPr>
        <w:t>79 </w:t>
      </w:r>
      <w:r>
        <w:rPr/>
        <w:t>APU 90-004, p. 4. The baseline for application of the federal antidegradation policy is 1975, which is the date used in 40 CFR § 131.3(e) to define existing uses of a waterbody. For state antidegradation requirements, see also </w:t>
      </w:r>
      <w:r>
        <w:rPr>
          <w:i/>
        </w:rPr>
        <w:t>Asociacion de Gente </w:t>
      </w:r>
      <w:r>
        <w:rPr>
          <w:i/>
        </w:rPr>
        <w:t>Unida por el Agua (AGUA) v. Central Valley Water Board </w:t>
      </w:r>
      <w:r>
        <w:rPr/>
        <w:t>(2012) 210 Cal.App.4th 1255,1270. The baseline for the application of the state antidegradation policy is generally the highest water quality achieved since 1968, the year the policy was adopted.</w:t>
      </w:r>
    </w:p>
    <w:p>
      <w:pPr>
        <w:pStyle w:val="BodyText"/>
        <w:spacing w:before="5"/>
        <w:rPr>
          <w:sz w:val="20"/>
        </w:rPr>
      </w:pPr>
    </w:p>
    <w:p>
      <w:pPr>
        <w:pStyle w:val="BodyText"/>
        <w:ind w:left="280" w:right="1035"/>
      </w:pPr>
      <w:r>
        <w:rPr>
          <w:position w:val="8"/>
          <w:sz w:val="16"/>
        </w:rPr>
        <w:t>80 </w:t>
      </w:r>
      <w:r>
        <w:rPr/>
        <w:t>The baseline may be later than 1968 because the appropriate baseline is determined by the date on which a policy establishing the level of water quality to protect was effective. (Resolution 68-16, Resolve 1.) The Region’s Basin Plan and applicable statewide water quality control plans have been updated and amended several times since their original adoptions dates, as early as 1971 for the Region’s Basin Plan, to include new or revised water quality objectives.</w:t>
      </w:r>
    </w:p>
    <w:p>
      <w:pPr>
        <w:pStyle w:val="BodyText"/>
        <w:spacing w:before="5"/>
        <w:rPr>
          <w:sz w:val="20"/>
        </w:rPr>
      </w:pPr>
    </w:p>
    <w:p>
      <w:pPr>
        <w:pStyle w:val="BodyText"/>
        <w:ind w:left="280"/>
      </w:pPr>
      <w:r>
        <w:rPr>
          <w:position w:val="8"/>
          <w:sz w:val="16"/>
        </w:rPr>
        <w:t>81 </w:t>
      </w:r>
      <w:r>
        <w:rPr/>
        <w:t>APU 90-004, p. 2.</w:t>
      </w:r>
    </w:p>
    <w:p>
      <w:pPr>
        <w:spacing w:after="0"/>
        <w:sectPr>
          <w:pgSz w:w="12240" w:h="15840"/>
          <w:pgMar w:header="728" w:footer="788" w:top="1540" w:bottom="980" w:left="1160" w:right="420"/>
        </w:sectPr>
      </w:pPr>
    </w:p>
    <w:p>
      <w:pPr>
        <w:pStyle w:val="BodyText"/>
        <w:spacing w:before="11"/>
        <w:rPr>
          <w:sz w:val="15"/>
        </w:rPr>
      </w:pPr>
    </w:p>
    <w:p>
      <w:pPr>
        <w:pStyle w:val="BodyText"/>
        <w:spacing w:before="92"/>
        <w:ind w:left="870" w:right="1071"/>
      </w:pPr>
      <w:r>
        <w:rPr/>
        <w:t>as discharges from publicly owned treatment works. However, APU 90-004 has limited value when considering antidegradation in the context of stormwater discharges from diffuse sources, conveyed through multiple outfalls, with multiple pollutants impacting multiple water bodies.</w:t>
      </w:r>
      <w:r>
        <w:rPr>
          <w:position w:val="8"/>
          <w:sz w:val="16"/>
        </w:rPr>
        <w:t>82 </w:t>
      </w:r>
      <w:r>
        <w:rPr/>
        <w:t>This interpretation is sensible for this Order, given that reliable data on the baseline water quality is not readily available since 1968.</w:t>
      </w:r>
    </w:p>
    <w:p>
      <w:pPr>
        <w:pStyle w:val="BodyText"/>
        <w:spacing w:before="5"/>
        <w:rPr>
          <w:sz w:val="20"/>
        </w:rPr>
      </w:pPr>
    </w:p>
    <w:p>
      <w:pPr>
        <w:pStyle w:val="BodyText"/>
        <w:ind w:left="870" w:right="1128" w:hanging="591"/>
      </w:pPr>
      <w:r>
        <w:rPr/>
        <w:t>The Los Angeles Water Board additionally finds that, even if APU 90-004 applies to the issuance of this Order, it requires at most a “simple” antidegradation analysis.</w:t>
      </w:r>
    </w:p>
    <w:p>
      <w:pPr>
        <w:pStyle w:val="BodyText"/>
        <w:ind w:left="870" w:right="1112"/>
        <w:rPr>
          <w:sz w:val="16"/>
        </w:rPr>
      </w:pPr>
      <w:r>
        <w:rPr/>
        <w:t>APU 90-004 contemplates that a “simple” antidegradation analysis is appropriate under specified circumstances. In particular, as stated above, APU 90-004 states that a simple antidegradation analysis is allowed when the “[Water] Board determines the reduction in water quality is temporally limited and will not result in any long-term deleterious effects on water quality; e.g., will cease after a storm event is over.”</w:t>
      </w:r>
      <w:r>
        <w:rPr>
          <w:position w:val="8"/>
          <w:sz w:val="16"/>
        </w:rPr>
        <w:t>83</w:t>
      </w:r>
    </w:p>
    <w:p>
      <w:pPr>
        <w:pStyle w:val="BodyText"/>
        <w:spacing w:before="236"/>
        <w:ind w:left="870" w:right="1125" w:hanging="591"/>
      </w:pPr>
      <w:r>
        <w:rPr/>
        <w:t>APU 90-004 does not provide guidance on the scope and content of a simple antidegradation analysis. Nor does it define the terms “temporally limited” or “long term.” Those terms must therefore be interpreted in the context of the types of discharges being permitted and with deference to the best professional judgment of the Los Angeles Water Board. CII stormwater discharges fit within the example provided by the APU and are temporal and inherently short-term. Therefore, any degradation would be temporally limited and would not result in long-term deleterious effects on water quality.</w:t>
      </w:r>
    </w:p>
    <w:p>
      <w:pPr>
        <w:pStyle w:val="BodyText"/>
        <w:spacing w:before="8"/>
        <w:rPr>
          <w:sz w:val="20"/>
        </w:rPr>
      </w:pPr>
    </w:p>
    <w:p>
      <w:pPr>
        <w:pStyle w:val="BodyText"/>
        <w:spacing w:before="1"/>
        <w:ind w:left="870" w:right="1125" w:hanging="591"/>
      </w:pPr>
      <w:r>
        <w:rPr/>
        <w:t>The Los Angeles Water Board determines that the findings made below meet the requirements of a simple antidegradation analysis and are also consistent with an antidegradation analysis done at a generalized level, as appropriate for this permit. With these findings, based on the information available to it and using its best professional judgment, the Los Angeles Water Board concludes that the discharge will not be adverse to the intent and purpose of the State and federal antidegradation policies. Regardless of APU 90-004’s application, however, the</w:t>
      </w:r>
    </w:p>
    <w:p>
      <w:pPr>
        <w:pStyle w:val="BodyText"/>
        <w:spacing w:before="2"/>
        <w:rPr>
          <w:sz w:val="19"/>
        </w:rPr>
      </w:pPr>
      <w:r>
        <w:rPr/>
        <w:pict>
          <v:shape style="position:absolute;margin-left:72pt;margin-top:13.302603pt;width:144pt;height:.1pt;mso-position-horizontal-relative:page;mso-position-vertical-relative:paragraph;z-index:-251623424;mso-wrap-distance-left:0;mso-wrap-distance-right:0" coordorigin="1440,266" coordsize="2880,0" path="m1440,266l4320,266e" filled="false" stroked="true" strokeweight=".600010pt" strokecolor="#000000">
            <v:path arrowok="t"/>
            <v:stroke dashstyle="solid"/>
            <w10:wrap type="topAndBottom"/>
          </v:shape>
        </w:pict>
      </w:r>
    </w:p>
    <w:p>
      <w:pPr>
        <w:pStyle w:val="BodyText"/>
        <w:rPr>
          <w:sz w:val="20"/>
        </w:rPr>
      </w:pPr>
    </w:p>
    <w:p>
      <w:pPr>
        <w:pStyle w:val="BodyText"/>
        <w:spacing w:before="5"/>
        <w:rPr>
          <w:sz w:val="22"/>
        </w:rPr>
      </w:pPr>
    </w:p>
    <w:p>
      <w:pPr>
        <w:pStyle w:val="BodyText"/>
        <w:spacing w:before="95"/>
        <w:ind w:left="279" w:right="1103"/>
      </w:pPr>
      <w:r>
        <w:rPr>
          <w:position w:val="8"/>
          <w:sz w:val="16"/>
        </w:rPr>
        <w:t>82 </w:t>
      </w:r>
      <w:r>
        <w:rPr/>
        <w:t>The State Water Board held so in Order WQ 2015-0075 regarding discharges from municipal separate storm sewer systems (MS4s). Stormwater discharges from CII Facilities represent a subset of discharges from MS4s, so the comparison is reasonable. In </w:t>
      </w:r>
      <w:r>
        <w:rPr>
          <w:i/>
        </w:rPr>
        <w:t>Natural Resources Defense Council v. State Water Resources Control </w:t>
      </w:r>
      <w:r>
        <w:rPr>
          <w:i/>
        </w:rPr>
        <w:t>Board</w:t>
      </w:r>
      <w:r>
        <w:rPr/>
        <w:t>, the superior court did not invalidate this particular conclusion. (Super. Ct. Los Angeles County, No. BS156962, Order, March 29, 2021). The State Water Board’s interpretation of its own guidance is entitled to deference. See also State Water Board Order WQ 2018-0002, p. 77 (reaching the same conclusion for agricultural discharges).</w:t>
      </w:r>
    </w:p>
    <w:p>
      <w:pPr>
        <w:pStyle w:val="BodyText"/>
        <w:spacing w:before="5"/>
        <w:rPr>
          <w:sz w:val="20"/>
        </w:rPr>
      </w:pPr>
    </w:p>
    <w:p>
      <w:pPr>
        <w:pStyle w:val="BodyText"/>
        <w:ind w:left="280"/>
      </w:pPr>
      <w:r>
        <w:rPr>
          <w:position w:val="8"/>
          <w:sz w:val="16"/>
        </w:rPr>
        <w:t>83 </w:t>
      </w:r>
      <w:r>
        <w:rPr/>
        <w:t>APU 90-004, p. 2.</w:t>
      </w:r>
    </w:p>
    <w:p>
      <w:pPr>
        <w:spacing w:after="0"/>
        <w:sectPr>
          <w:pgSz w:w="12240" w:h="15840"/>
          <w:pgMar w:header="728" w:footer="788" w:top="1540" w:bottom="980" w:left="1160" w:right="420"/>
        </w:sectPr>
      </w:pPr>
    </w:p>
    <w:p>
      <w:pPr>
        <w:pStyle w:val="BodyText"/>
        <w:spacing w:before="11"/>
        <w:rPr>
          <w:sz w:val="15"/>
        </w:rPr>
      </w:pPr>
    </w:p>
    <w:p>
      <w:pPr>
        <w:pStyle w:val="BodyText"/>
        <w:spacing w:before="92"/>
        <w:ind w:left="870" w:right="1658"/>
      </w:pPr>
      <w:r>
        <w:rPr/>
        <w:t>below analysis is consistent with the generalized antidegradation analysis appropriate for this Order and complies with both the federal antidegradation regulations, and with the State antidegradation policy.</w:t>
      </w:r>
    </w:p>
    <w:p>
      <w:pPr>
        <w:pStyle w:val="BodyText"/>
        <w:spacing w:before="10"/>
        <w:rPr>
          <w:sz w:val="20"/>
        </w:rPr>
      </w:pPr>
    </w:p>
    <w:p>
      <w:pPr>
        <w:pStyle w:val="Heading1"/>
        <w:ind w:left="280"/>
      </w:pPr>
      <w:r>
        <w:rPr/>
        <w:t>The Los Angeles Water Board Makes the Following Antidegradation Findings:</w:t>
      </w:r>
    </w:p>
    <w:p>
      <w:pPr>
        <w:pStyle w:val="BodyText"/>
        <w:ind w:left="870" w:right="1178" w:hanging="591"/>
      </w:pPr>
      <w:r>
        <w:rPr/>
        <w:t>The discharges permitted in the permit are consistent with the antidegradation provisions of 40 CFR section 131.12 and Resolution No. 68-16. The Los Angeles Water Board’s conclusion that the terms and conditions of the permit are consistent with the antidegradation policies is based on the following analysis.</w:t>
      </w:r>
    </w:p>
    <w:p>
      <w:pPr>
        <w:pStyle w:val="BodyText"/>
        <w:spacing w:before="10"/>
        <w:rPr>
          <w:sz w:val="20"/>
        </w:rPr>
      </w:pPr>
    </w:p>
    <w:p>
      <w:pPr>
        <w:pStyle w:val="Heading1"/>
        <w:ind w:left="1359" w:right="1159" w:hanging="1080"/>
      </w:pPr>
      <w:r>
        <w:rPr/>
        <w:t>Water bodies that do not meet water quality objectives (water bodies that are not high quality):</w:t>
      </w:r>
    </w:p>
    <w:p>
      <w:pPr>
        <w:pStyle w:val="BodyText"/>
        <w:spacing w:before="1"/>
        <w:ind w:left="1359" w:right="1008" w:hanging="1080"/>
      </w:pPr>
      <w:r>
        <w:rPr/>
        <w:t>The Los Angeles Water Board finds that the water bodies at issue here in the Los Cerritos/Alamitos Bay and Dominguez Channel/Inner and Outer Los Angeles and Long Beach Harbors watersheds are not high quality. These two watersheds have been highly urbanized and industrialized since 1968. The Dominguez Channel/Inner and Outer Los Angeles and Long Beach Harbors Watershed includes the Ports of Los Angeles and Long Beach, which were established in 1907 and 1911, respectively.</w:t>
      </w:r>
      <w:r>
        <w:rPr>
          <w:position w:val="8"/>
          <w:sz w:val="16"/>
        </w:rPr>
        <w:t>84 </w:t>
      </w:r>
      <w:r>
        <w:rPr/>
        <w:t>These are the largest two deep water ports in the U.S. and encompass over 7,000 acres of land in the watershed. Containerized shipping to and from these ports began in 1959 and 1962, respectively.</w:t>
      </w:r>
      <w:r>
        <w:rPr>
          <w:position w:val="8"/>
          <w:sz w:val="16"/>
        </w:rPr>
        <w:t>85 </w:t>
      </w:r>
      <w:r>
        <w:rPr/>
        <w:t>The majority of land use in the two ports is commercial/industrial. The land use in the watershed is primarily high density residential, industrial and commercial, and as a result, the watershed is highly impervious.</w:t>
      </w:r>
      <w:r>
        <w:rPr>
          <w:position w:val="8"/>
          <w:sz w:val="16"/>
        </w:rPr>
        <w:t>86 </w:t>
      </w:r>
      <w:r>
        <w:rPr/>
        <w:t>The cities of Los Angeles and Long Beach, which are the two largest cities in the watershed, are the largest and 7</w:t>
      </w:r>
      <w:r>
        <w:rPr>
          <w:position w:val="8"/>
          <w:sz w:val="16"/>
        </w:rPr>
        <w:t>th </w:t>
      </w:r>
      <w:r>
        <w:rPr/>
        <w:t>largest in the state. In 1960, the populations of the cities of Los Angeles and Long Beach were already 2,479,015 and 344,168, respectively. These two cities also rank in the top 10 for population density among large cities in the United States.</w:t>
      </w:r>
      <w:r>
        <w:rPr>
          <w:position w:val="8"/>
          <w:sz w:val="16"/>
        </w:rPr>
        <w:t>87 </w:t>
      </w:r>
      <w:r>
        <w:rPr/>
        <w:t>Analysis of historic land cover for 1960, 1964, and 1972 in the Long Beach area shows that by 1964, the area was already greater than 50 percent impervious. The Los Cerritos Channel/Alamitos Bay Watershed is adjacent to</w:t>
      </w:r>
    </w:p>
    <w:p>
      <w:pPr>
        <w:pStyle w:val="BodyText"/>
        <w:spacing w:before="1"/>
        <w:rPr>
          <w:sz w:val="20"/>
        </w:rPr>
      </w:pPr>
      <w:r>
        <w:rPr/>
        <w:pict>
          <v:shape style="position:absolute;margin-left:72pt;margin-top:13.809633pt;width:144pt;height:.1pt;mso-position-horizontal-relative:page;mso-position-vertical-relative:paragraph;z-index:-251622400;mso-wrap-distance-left:0;mso-wrap-distance-right:0" coordorigin="1440,276" coordsize="2880,0" path="m1440,276l4320,276e" filled="false" stroked="true" strokeweight=".600010pt" strokecolor="#000000">
            <v:path arrowok="t"/>
            <v:stroke dashstyle="solid"/>
            <w10:wrap type="topAndBottom"/>
          </v:shape>
        </w:pict>
      </w:r>
    </w:p>
    <w:p>
      <w:pPr>
        <w:pStyle w:val="BodyText"/>
        <w:rPr>
          <w:sz w:val="20"/>
        </w:rPr>
      </w:pPr>
    </w:p>
    <w:p>
      <w:pPr>
        <w:pStyle w:val="BodyText"/>
        <w:spacing w:before="5"/>
        <w:rPr>
          <w:sz w:val="22"/>
        </w:rPr>
      </w:pPr>
    </w:p>
    <w:p>
      <w:pPr>
        <w:pStyle w:val="BodyText"/>
        <w:spacing w:before="95"/>
        <w:ind w:left="280" w:right="1035"/>
      </w:pPr>
      <w:r>
        <w:rPr>
          <w:position w:val="8"/>
          <w:sz w:val="16"/>
        </w:rPr>
        <w:t>84 </w:t>
      </w:r>
      <w:r>
        <w:rPr/>
        <w:t>LARWQCB (2008) “State of the Watershed – Report on Surface Water and Sediment Quality: The Dominguez Channel and Los Angeles/Long Beach Harbors Watershed Management Area,” prepared by Shirley Birosik, October 2008, p. 5.</w:t>
      </w:r>
    </w:p>
    <w:p>
      <w:pPr>
        <w:pStyle w:val="BodyText"/>
        <w:spacing w:before="5"/>
        <w:rPr>
          <w:sz w:val="20"/>
        </w:rPr>
      </w:pPr>
    </w:p>
    <w:p>
      <w:pPr>
        <w:spacing w:before="0"/>
        <w:ind w:left="280" w:right="0" w:firstLine="0"/>
        <w:jc w:val="left"/>
        <w:rPr>
          <w:sz w:val="24"/>
        </w:rPr>
      </w:pPr>
      <w:r>
        <w:rPr>
          <w:position w:val="8"/>
          <w:sz w:val="16"/>
        </w:rPr>
        <w:t>85  </w:t>
      </w:r>
      <w:r>
        <w:rPr>
          <w:i/>
          <w:sz w:val="24"/>
        </w:rPr>
        <w:t>Id.</w:t>
      </w:r>
      <w:r>
        <w:rPr>
          <w:sz w:val="24"/>
        </w:rPr>
        <w:t>, p.</w:t>
      </w:r>
      <w:r>
        <w:rPr>
          <w:spacing w:val="-27"/>
          <w:sz w:val="24"/>
        </w:rPr>
        <w:t> </w:t>
      </w:r>
      <w:r>
        <w:rPr>
          <w:sz w:val="24"/>
        </w:rPr>
        <w:t>6.</w:t>
      </w:r>
    </w:p>
    <w:p>
      <w:pPr>
        <w:spacing w:before="235"/>
        <w:ind w:left="280" w:right="0" w:firstLine="0"/>
        <w:jc w:val="left"/>
        <w:rPr>
          <w:sz w:val="24"/>
        </w:rPr>
      </w:pPr>
      <w:r>
        <w:rPr>
          <w:position w:val="8"/>
          <w:sz w:val="16"/>
        </w:rPr>
        <w:t>86  </w:t>
      </w:r>
      <w:r>
        <w:rPr>
          <w:i/>
          <w:sz w:val="24"/>
        </w:rPr>
        <w:t>Id.</w:t>
      </w:r>
      <w:r>
        <w:rPr>
          <w:sz w:val="24"/>
        </w:rPr>
        <w:t>, p.</w:t>
      </w:r>
      <w:r>
        <w:rPr>
          <w:spacing w:val="-27"/>
          <w:sz w:val="24"/>
        </w:rPr>
        <w:t> </w:t>
      </w:r>
      <w:r>
        <w:rPr>
          <w:sz w:val="24"/>
        </w:rPr>
        <w:t>4.</w:t>
      </w:r>
    </w:p>
    <w:p>
      <w:pPr>
        <w:pStyle w:val="BodyText"/>
        <w:spacing w:before="235"/>
        <w:ind w:left="280" w:right="3596"/>
      </w:pPr>
      <w:r>
        <w:rPr>
          <w:position w:val="8"/>
          <w:sz w:val="16"/>
        </w:rPr>
        <w:t>87 </w:t>
      </w:r>
      <w:r>
        <w:rPr/>
        <w:t>“Top 100 Biggest California Cities By Population,” </w:t>
      </w:r>
      <w:hyperlink r:id="rId67">
        <w:r>
          <w:rPr/>
          <w:t>https://www.biggestuscities.com/ca, </w:t>
        </w:r>
      </w:hyperlink>
      <w:r>
        <w:rPr/>
        <w:t>accessed on July 20, 2022.</w:t>
      </w:r>
    </w:p>
    <w:p>
      <w:pPr>
        <w:spacing w:after="0"/>
        <w:sectPr>
          <w:pgSz w:w="12240" w:h="15840"/>
          <w:pgMar w:header="728" w:footer="788" w:top="1540" w:bottom="980" w:left="1160" w:right="420"/>
        </w:sectPr>
      </w:pPr>
    </w:p>
    <w:p>
      <w:pPr>
        <w:pStyle w:val="BodyText"/>
        <w:spacing w:before="11"/>
        <w:rPr>
          <w:sz w:val="15"/>
        </w:rPr>
      </w:pPr>
    </w:p>
    <w:p>
      <w:pPr>
        <w:pStyle w:val="BodyText"/>
        <w:spacing w:line="237" w:lineRule="auto" w:before="94"/>
        <w:ind w:left="1360" w:right="1076"/>
      </w:pPr>
      <w:r>
        <w:rPr/>
        <w:t>the Dominguez Channel/Inner and Outer Los Angeles and Long Beach Harbors Watershed and has similar land use characteristics, i.e., high density residential, commercial and industrial.</w:t>
      </w:r>
      <w:r>
        <w:rPr>
          <w:position w:val="8"/>
          <w:sz w:val="16"/>
        </w:rPr>
        <w:t>88 </w:t>
      </w:r>
      <w:r>
        <w:rPr/>
        <w:t>The watershed includes drainage from the eastern part of the City of Long Beach and the cities of Bellflower, Cerritos, Downey, Lakewood, Paramount, and Signal Hill.</w:t>
      </w:r>
      <w:r>
        <w:rPr>
          <w:position w:val="8"/>
          <w:sz w:val="16"/>
        </w:rPr>
        <w:t>89 </w:t>
      </w:r>
      <w:r>
        <w:rPr/>
        <w:t>Marine Stadium, which is part of Alamitos Bay, was built in 1932.</w:t>
      </w:r>
    </w:p>
    <w:p>
      <w:pPr>
        <w:pStyle w:val="BodyText"/>
        <w:spacing w:before="6"/>
        <w:rPr>
          <w:sz w:val="21"/>
        </w:rPr>
      </w:pPr>
    </w:p>
    <w:p>
      <w:pPr>
        <w:pStyle w:val="BodyText"/>
        <w:spacing w:line="237" w:lineRule="auto"/>
        <w:ind w:left="1359" w:right="1049" w:hanging="1080"/>
      </w:pPr>
      <w:r>
        <w:rPr/>
        <w:t>All the water bodies in these two watersheds are listed on California’s section 303(d) list of impaired waters</w:t>
      </w:r>
      <w:r>
        <w:rPr>
          <w:position w:val="8"/>
          <w:sz w:val="16"/>
        </w:rPr>
        <w:t>90</w:t>
      </w:r>
      <w:r>
        <w:rPr/>
        <w:t>, and they have applicable TMDLs developed by the Los Angeles Water Board or U.S. EPA. Data in the Los Angeles Water Board’s files show that the waters here have been impaired since at least 1998.</w:t>
      </w:r>
    </w:p>
    <w:p>
      <w:pPr>
        <w:pStyle w:val="BodyText"/>
        <w:spacing w:before="4"/>
        <w:ind w:left="1360" w:right="1035"/>
      </w:pPr>
      <w:r>
        <w:rPr/>
        <w:t>Notably, some of these water quality impairments are due to legacy pollutants that have not been in use since the 1970s such as DDT and PCBs. More details are provided in sections 2.3.2 and 4.6.3 of this Fact Sheet.</w:t>
      </w:r>
    </w:p>
    <w:p>
      <w:pPr>
        <w:pStyle w:val="BodyText"/>
        <w:spacing w:before="10"/>
        <w:rPr>
          <w:sz w:val="20"/>
        </w:rPr>
      </w:pPr>
    </w:p>
    <w:p>
      <w:pPr>
        <w:pStyle w:val="BodyText"/>
        <w:ind w:left="1359" w:right="1051" w:hanging="1080"/>
      </w:pPr>
      <w:r>
        <w:rPr/>
        <w:t>Therefore, under both federal and state antidegradation policies, the Los Angeles Water Board finds that these receiving waters are not considered “high quality” waters. For receiving waters that are not high-quality waters, the federal antidegradation policy requires that regulatory actions ensure that existing instream uses and the level of water quality necessary to protect the existing uses are maintained and protected. (40 CFR § 131.12(a)(1).) The General Order ensures that existing instream (beneficial) uses and the level of water quality necessary to protect the existing uses are maintained and protected through requirements to not cause or contribute to exceedances of water quality objectives in the receiving water and to restore impaired water bodies by requiring compliance with water quality-based effluent limits as set forth in section 7.2 of this Order and compliance with receiving water limitations set forth in the General Order, sections 4.5 and 4.6 of this Order. These provisions are collectively designed to halt any further degradation of impaired water bodies and improve the quality of such waters to a level protective of existing uses over a time schedule that is as short as</w:t>
      </w:r>
      <w:r>
        <w:rPr>
          <w:spacing w:val="-35"/>
        </w:rPr>
        <w:t> </w:t>
      </w:r>
      <w:r>
        <w:rPr/>
        <w:t>possible.</w:t>
      </w:r>
    </w:p>
    <w:p>
      <w:pPr>
        <w:pStyle w:val="BodyText"/>
        <w:rPr>
          <w:sz w:val="20"/>
        </w:rPr>
      </w:pPr>
    </w:p>
    <w:p>
      <w:pPr>
        <w:pStyle w:val="BodyText"/>
        <w:spacing w:before="1"/>
        <w:rPr>
          <w:sz w:val="23"/>
        </w:rPr>
      </w:pPr>
      <w:r>
        <w:rPr/>
        <w:pict>
          <v:shape style="position:absolute;margin-left:72pt;margin-top:15.560464pt;width:144pt;height:.1pt;mso-position-horizontal-relative:page;mso-position-vertical-relative:paragraph;z-index:-251621376;mso-wrap-distance-left:0;mso-wrap-distance-right:0" coordorigin="1440,311" coordsize="2880,0" path="m1440,311l4320,311e" filled="false" stroked="true" strokeweight=".600010pt" strokecolor="#000000">
            <v:path arrowok="t"/>
            <v:stroke dashstyle="solid"/>
            <w10:wrap type="topAndBottom"/>
          </v:shape>
        </w:pict>
      </w:r>
    </w:p>
    <w:p>
      <w:pPr>
        <w:pStyle w:val="BodyText"/>
        <w:rPr>
          <w:sz w:val="20"/>
        </w:rPr>
      </w:pPr>
    </w:p>
    <w:p>
      <w:pPr>
        <w:pStyle w:val="BodyText"/>
        <w:spacing w:before="5"/>
        <w:rPr>
          <w:sz w:val="22"/>
        </w:rPr>
      </w:pPr>
    </w:p>
    <w:p>
      <w:pPr>
        <w:pStyle w:val="BodyText"/>
        <w:spacing w:before="95"/>
        <w:ind w:left="279" w:right="1035"/>
      </w:pPr>
      <w:r>
        <w:rPr>
          <w:position w:val="8"/>
          <w:sz w:val="16"/>
        </w:rPr>
        <w:t>88 </w:t>
      </w:r>
      <w:r>
        <w:rPr/>
        <w:t>LARWQCB (no date) “Los Cerritos Channel and Alamitos Bay WMA: Summary,” prepared by Shirley Birosik, p. 2.</w:t>
      </w:r>
    </w:p>
    <w:p>
      <w:pPr>
        <w:pStyle w:val="BodyText"/>
        <w:spacing w:before="5"/>
        <w:rPr>
          <w:sz w:val="20"/>
        </w:rPr>
      </w:pPr>
    </w:p>
    <w:p>
      <w:pPr>
        <w:pStyle w:val="BodyText"/>
        <w:ind w:left="280" w:right="1035"/>
      </w:pPr>
      <w:r>
        <w:rPr>
          <w:position w:val="8"/>
          <w:sz w:val="16"/>
        </w:rPr>
        <w:t>89 </w:t>
      </w:r>
      <w:r>
        <w:rPr/>
        <w:t>Los Cerritos Channel Watershed Group (2022) “Los Cerritos Channel Watershed Management Program” (Updated June 2022), prepared by Richard Watson &amp; Associates, Inc.</w:t>
      </w:r>
    </w:p>
    <w:p>
      <w:pPr>
        <w:pStyle w:val="BodyText"/>
        <w:spacing w:before="5"/>
        <w:rPr>
          <w:sz w:val="20"/>
        </w:rPr>
      </w:pPr>
    </w:p>
    <w:p>
      <w:pPr>
        <w:pStyle w:val="BodyText"/>
        <w:ind w:left="280" w:right="1320"/>
        <w:jc w:val="both"/>
      </w:pPr>
      <w:r>
        <w:rPr>
          <w:position w:val="8"/>
          <w:sz w:val="16"/>
        </w:rPr>
        <w:t>90 </w:t>
      </w:r>
      <w:r>
        <w:rPr/>
        <w:t>Dominguez Channel, Torrance Lateral, Dominguez Channel Estuary, Consolidated Slip, Los Angeles Harbor, Long Beach Harbor, Machado Lake, Wilmington Drain, Los Cerritos Channel, Alamitos Bay, and Colorado Lagoon.</w:t>
      </w:r>
    </w:p>
    <w:p>
      <w:pPr>
        <w:spacing w:after="0"/>
        <w:jc w:val="both"/>
        <w:sectPr>
          <w:pgSz w:w="12240" w:h="15840"/>
          <w:pgMar w:header="728" w:footer="788" w:top="1540" w:bottom="980" w:left="1160" w:right="420"/>
        </w:sectPr>
      </w:pPr>
    </w:p>
    <w:p>
      <w:pPr>
        <w:pStyle w:val="BodyText"/>
        <w:spacing w:before="11"/>
        <w:rPr>
          <w:sz w:val="15"/>
        </w:rPr>
      </w:pPr>
    </w:p>
    <w:p>
      <w:pPr>
        <w:pStyle w:val="BodyText"/>
        <w:spacing w:before="92"/>
        <w:ind w:left="870" w:right="1179" w:hanging="591"/>
      </w:pPr>
      <w:r>
        <w:rPr/>
        <w:t>The antidegradation policies do not explicitly or implicitly override the authority and discretion the Clean Water Act and the Water Code grant to the Los Angeles Water Board as to how it structures a permit to ensure water quality necessary to protect beneficial uses. The law does not require immediate restoration of impaired water bodies nor does it require an immediate prohibition of discharges that contribute to an exceedance in the waterbody. Rather, federal regulations at 40 CFR section 122.47 allow NPDES permits to have compliance schedules.</w:t>
      </w:r>
    </w:p>
    <w:p>
      <w:pPr>
        <w:pStyle w:val="BodyText"/>
        <w:ind w:left="870" w:right="1059"/>
      </w:pPr>
      <w:r>
        <w:rPr/>
        <w:t>Similarly, Water Code section 13263, subdivision (c), authorizes the Los Angeles Water Boards to include a time schedule for achieving water quality objectives in waste discharge requirements. Where a TMDL has been established, Water Code section 13242 states that the TMDL implementation plan, as incorporated into the water quality control plan, shall include a time schedule for actions to be taken.</w:t>
      </w:r>
    </w:p>
    <w:p>
      <w:pPr>
        <w:pStyle w:val="BodyText"/>
        <w:spacing w:before="1"/>
        <w:ind w:left="870" w:right="1036"/>
      </w:pPr>
      <w:r>
        <w:rPr/>
        <w:t>When issuing waste discharge requirements, Water Code section 13263 requires regional boards to implement any relevant water quality control plans that have been adopted. Certainly, water quality objectives must be achieved; but the law, as cited above, recognizes and allows for the fact that it can take time to restore or achieve the objectives. In this regard, some impaired water bodies may stagnate or, rarely, continue to degrade for a period of time before showing</w:t>
      </w:r>
      <w:r>
        <w:rPr>
          <w:spacing w:val="-33"/>
        </w:rPr>
        <w:t> </w:t>
      </w:r>
      <w:r>
        <w:rPr/>
        <w:t>improvement.</w:t>
      </w:r>
    </w:p>
    <w:p>
      <w:pPr>
        <w:pStyle w:val="BodyText"/>
        <w:ind w:left="870" w:right="1406"/>
      </w:pPr>
      <w:r>
        <w:rPr/>
        <w:t>This period of time may be as long as multiple years. This is not contrary to the authorities for compliance schedules stated above and is not contrary to the antidegradation policies.</w:t>
      </w:r>
    </w:p>
    <w:p>
      <w:pPr>
        <w:pStyle w:val="BodyText"/>
        <w:spacing w:before="10"/>
        <w:rPr>
          <w:sz w:val="20"/>
        </w:rPr>
      </w:pPr>
    </w:p>
    <w:p>
      <w:pPr>
        <w:pStyle w:val="Heading1"/>
        <w:numPr>
          <w:ilvl w:val="1"/>
          <w:numId w:val="30"/>
        </w:numPr>
        <w:tabs>
          <w:tab w:pos="871" w:val="left" w:leader="none"/>
        </w:tabs>
        <w:spacing w:line="240" w:lineRule="auto" w:before="0" w:after="0"/>
        <w:ind w:left="870" w:right="0" w:hanging="592"/>
        <w:jc w:val="left"/>
      </w:pPr>
      <w:r>
        <w:rPr/>
        <w:t>Compliance Options for Water Quality Based Effluent</w:t>
      </w:r>
      <w:r>
        <w:rPr>
          <w:spacing w:val="-8"/>
        </w:rPr>
        <w:t> </w:t>
      </w:r>
      <w:r>
        <w:rPr/>
        <w:t>Limitations.</w:t>
      </w:r>
    </w:p>
    <w:p>
      <w:pPr>
        <w:pStyle w:val="BodyText"/>
        <w:spacing w:before="8"/>
        <w:rPr>
          <w:b/>
          <w:sz w:val="20"/>
        </w:rPr>
      </w:pPr>
    </w:p>
    <w:p>
      <w:pPr>
        <w:pStyle w:val="ListParagraph"/>
        <w:numPr>
          <w:ilvl w:val="2"/>
          <w:numId w:val="30"/>
        </w:numPr>
        <w:tabs>
          <w:tab w:pos="1100" w:val="left" w:leader="none"/>
          <w:tab w:pos="1101" w:val="left" w:leader="none"/>
        </w:tabs>
        <w:spacing w:line="240" w:lineRule="auto" w:before="1" w:after="0"/>
        <w:ind w:left="1100" w:right="1569" w:hanging="821"/>
        <w:jc w:val="left"/>
        <w:rPr>
          <w:b/>
          <w:sz w:val="24"/>
        </w:rPr>
      </w:pPr>
      <w:r>
        <w:rPr>
          <w:b/>
          <w:sz w:val="24"/>
        </w:rPr>
        <w:t>Compliance Option 1 – Agreement with Local Watershed Management Group to Fund Regional</w:t>
      </w:r>
      <w:r>
        <w:rPr>
          <w:b/>
          <w:spacing w:val="-1"/>
          <w:sz w:val="24"/>
        </w:rPr>
        <w:t> </w:t>
      </w:r>
      <w:r>
        <w:rPr>
          <w:b/>
          <w:sz w:val="24"/>
        </w:rPr>
        <w:t>Project.</w:t>
      </w:r>
    </w:p>
    <w:p>
      <w:pPr>
        <w:pStyle w:val="BodyText"/>
        <w:spacing w:before="9"/>
        <w:rPr>
          <w:b/>
          <w:sz w:val="20"/>
        </w:rPr>
      </w:pPr>
    </w:p>
    <w:p>
      <w:pPr>
        <w:pStyle w:val="ListParagraph"/>
        <w:numPr>
          <w:ilvl w:val="3"/>
          <w:numId w:val="30"/>
        </w:numPr>
        <w:tabs>
          <w:tab w:pos="1359" w:val="left" w:leader="none"/>
          <w:tab w:pos="1360" w:val="left" w:leader="none"/>
        </w:tabs>
        <w:spacing w:line="240" w:lineRule="auto" w:before="1" w:after="0"/>
        <w:ind w:left="1359" w:right="1067" w:hanging="1080"/>
        <w:jc w:val="left"/>
        <w:rPr>
          <w:sz w:val="24"/>
        </w:rPr>
      </w:pPr>
      <w:r>
        <w:rPr>
          <w:sz w:val="24"/>
        </w:rPr>
        <w:t>The purpose of the Watershed Management Programs is to provide a framework for MS4 permittees to implement the requirements of the MS4 permit in an integrated and collaborative fashion to address water quality priorities on a watershed scale consistent with federal regulations (40 CFR §§ 122.26(a)(3)(ii), 122.26(a)(3)(v), and 122.26(d)(2)(iv)). The ultimate goal of the Watershed Management Programs is to ensure that MS4 discharges achieve applicable WQBELs that implement TMDLs and do not cause or contribute to exceedances of receiving water limitations. This compliance option incentivizes watershed-based approaches to address multiple contaminants and reduce pollutants entering surface waters. It also encourages the use of green infrastructure and low impact development to manage stormwater and enhance the health of watersheds. Finally, it supports multi-benefit regional projects that capture, infiltrate, and reuse stormwater and support a sustainable local water</w:t>
      </w:r>
      <w:r>
        <w:rPr>
          <w:spacing w:val="-7"/>
          <w:sz w:val="24"/>
        </w:rPr>
        <w:t> </w:t>
      </w:r>
      <w:r>
        <w:rPr>
          <w:sz w:val="24"/>
        </w:rPr>
        <w:t>supply.</w:t>
      </w:r>
    </w:p>
    <w:p>
      <w:pPr>
        <w:pStyle w:val="BodyText"/>
        <w:spacing w:before="10"/>
        <w:rPr>
          <w:sz w:val="20"/>
        </w:rPr>
      </w:pPr>
    </w:p>
    <w:p>
      <w:pPr>
        <w:pStyle w:val="ListParagraph"/>
        <w:numPr>
          <w:ilvl w:val="3"/>
          <w:numId w:val="30"/>
        </w:numPr>
        <w:tabs>
          <w:tab w:pos="1358" w:val="left" w:leader="none"/>
          <w:tab w:pos="1359" w:val="left" w:leader="none"/>
        </w:tabs>
        <w:spacing w:line="240" w:lineRule="auto" w:before="0" w:after="0"/>
        <w:ind w:left="1359" w:right="1161" w:hanging="1080"/>
        <w:jc w:val="left"/>
        <w:rPr>
          <w:sz w:val="24"/>
        </w:rPr>
      </w:pPr>
      <w:r>
        <w:rPr>
          <w:sz w:val="24"/>
        </w:rPr>
        <w:t>This compliance option requires the Discharger to enter into a legally binding agreement with the local Watershed Management Group, in which the Discharger agrees to contribute funding for a regional project in the group’s Watershed Management Program for as long as the Discharger chooses</w:t>
      </w:r>
      <w:r>
        <w:rPr>
          <w:spacing w:val="-28"/>
          <w:sz w:val="24"/>
        </w:rPr>
        <w:t> </w:t>
      </w:r>
      <w:r>
        <w:rPr>
          <w:sz w:val="24"/>
        </w:rPr>
        <w:t>to</w:t>
      </w:r>
    </w:p>
    <w:p>
      <w:pPr>
        <w:spacing w:after="0" w:line="240" w:lineRule="auto"/>
        <w:jc w:val="left"/>
        <w:rPr>
          <w:sz w:val="24"/>
        </w:rPr>
        <w:sectPr>
          <w:pgSz w:w="12240" w:h="15840"/>
          <w:pgMar w:header="728" w:footer="788" w:top="1540" w:bottom="980" w:left="1160" w:right="420"/>
        </w:sectPr>
      </w:pPr>
    </w:p>
    <w:p>
      <w:pPr>
        <w:pStyle w:val="BodyText"/>
        <w:spacing w:before="11"/>
        <w:rPr>
          <w:sz w:val="15"/>
        </w:rPr>
      </w:pPr>
    </w:p>
    <w:p>
      <w:pPr>
        <w:pStyle w:val="BodyText"/>
        <w:spacing w:before="92"/>
        <w:ind w:left="1360" w:right="1129"/>
      </w:pPr>
      <w:r>
        <w:rPr/>
        <w:t>employ Compliance Option 1. The funding may include costs for initial construction, maintenance and operation, regional project revision and enhancement, and administrative and other supplemental work performed</w:t>
      </w:r>
      <w:r>
        <w:rPr>
          <w:spacing w:val="-48"/>
        </w:rPr>
        <w:t> </w:t>
      </w:r>
      <w:r>
        <w:rPr/>
        <w:t>by the Watershed Management Group. The agreement, which must be reported on annually and as needed, may include the</w:t>
      </w:r>
      <w:r>
        <w:rPr>
          <w:spacing w:val="-6"/>
        </w:rPr>
        <w:t> </w:t>
      </w:r>
      <w:r>
        <w:rPr/>
        <w:t>following:</w:t>
      </w:r>
    </w:p>
    <w:p>
      <w:pPr>
        <w:pStyle w:val="BodyText"/>
        <w:spacing w:before="10"/>
        <w:rPr>
          <w:sz w:val="20"/>
        </w:rPr>
      </w:pPr>
    </w:p>
    <w:p>
      <w:pPr>
        <w:pStyle w:val="ListParagraph"/>
        <w:numPr>
          <w:ilvl w:val="4"/>
          <w:numId w:val="30"/>
        </w:numPr>
        <w:tabs>
          <w:tab w:pos="1575" w:val="left" w:leader="none"/>
          <w:tab w:pos="1576" w:val="left" w:leader="none"/>
        </w:tabs>
        <w:spacing w:line="240" w:lineRule="auto" w:before="0" w:after="0"/>
        <w:ind w:left="1575" w:right="0" w:hanging="1296"/>
        <w:jc w:val="left"/>
        <w:rPr>
          <w:sz w:val="24"/>
        </w:rPr>
      </w:pPr>
      <w:r>
        <w:rPr>
          <w:sz w:val="24"/>
        </w:rPr>
        <w:t>Payments of any applicable fees;</w:t>
      </w:r>
      <w:r>
        <w:rPr>
          <w:spacing w:val="-15"/>
          <w:sz w:val="24"/>
        </w:rPr>
        <w:t> </w:t>
      </w:r>
      <w:r>
        <w:rPr>
          <w:sz w:val="24"/>
        </w:rPr>
        <w:t>and</w:t>
      </w:r>
    </w:p>
    <w:p>
      <w:pPr>
        <w:pStyle w:val="BodyText"/>
        <w:spacing w:before="10"/>
        <w:rPr>
          <w:sz w:val="20"/>
        </w:rPr>
      </w:pPr>
    </w:p>
    <w:p>
      <w:pPr>
        <w:pStyle w:val="ListParagraph"/>
        <w:numPr>
          <w:ilvl w:val="4"/>
          <w:numId w:val="30"/>
        </w:numPr>
        <w:tabs>
          <w:tab w:pos="1574" w:val="left" w:leader="none"/>
          <w:tab w:pos="1575" w:val="left" w:leader="none"/>
        </w:tabs>
        <w:spacing w:line="240" w:lineRule="auto" w:before="0" w:after="0"/>
        <w:ind w:left="1576" w:right="1426" w:hanging="1296"/>
        <w:jc w:val="left"/>
        <w:rPr>
          <w:sz w:val="24"/>
        </w:rPr>
      </w:pPr>
      <w:r>
        <w:rPr>
          <w:sz w:val="24"/>
        </w:rPr>
        <w:t>Cooperating with the owner of the MS4 as otherwise specified within</w:t>
      </w:r>
      <w:r>
        <w:rPr>
          <w:spacing w:val="-44"/>
          <w:sz w:val="24"/>
        </w:rPr>
        <w:t> </w:t>
      </w:r>
      <w:r>
        <w:rPr>
          <w:sz w:val="24"/>
        </w:rPr>
        <w:t>the agreement;</w:t>
      </w:r>
      <w:r>
        <w:rPr>
          <w:spacing w:val="-1"/>
          <w:sz w:val="24"/>
        </w:rPr>
        <w:t> </w:t>
      </w:r>
      <w:r>
        <w:rPr>
          <w:sz w:val="24"/>
        </w:rPr>
        <w:t>and</w:t>
      </w:r>
    </w:p>
    <w:p>
      <w:pPr>
        <w:pStyle w:val="BodyText"/>
        <w:spacing w:before="10"/>
        <w:rPr>
          <w:sz w:val="20"/>
        </w:rPr>
      </w:pPr>
    </w:p>
    <w:p>
      <w:pPr>
        <w:pStyle w:val="ListParagraph"/>
        <w:numPr>
          <w:ilvl w:val="4"/>
          <w:numId w:val="30"/>
        </w:numPr>
        <w:tabs>
          <w:tab w:pos="1574" w:val="left" w:leader="none"/>
          <w:tab w:pos="1576" w:val="left" w:leader="none"/>
        </w:tabs>
        <w:spacing w:line="240" w:lineRule="auto" w:before="0" w:after="0"/>
        <w:ind w:left="1575" w:right="1114" w:hanging="1296"/>
        <w:jc w:val="left"/>
        <w:rPr>
          <w:sz w:val="24"/>
        </w:rPr>
      </w:pPr>
      <w:r>
        <w:rPr>
          <w:sz w:val="24"/>
        </w:rPr>
        <w:t>Verifying with the Watershed Management Group that an existing or planned regional project is available to address the stormwater volume that would otherwise need to be addressed onsite under Compliance Options 2 or 3, and the funding level must be proportional to the sum of NSWD volume and onsite stormwater volume to be addressed relative to the total regional project stormwater capacity, drainage area or watershed stormwater capacity modified by pollutant level potential based on activity type, and can be expressed as the following</w:t>
      </w:r>
      <w:r>
        <w:rPr>
          <w:spacing w:val="-7"/>
          <w:sz w:val="24"/>
        </w:rPr>
        <w:t> </w:t>
      </w:r>
      <w:r>
        <w:rPr>
          <w:sz w:val="24"/>
        </w:rPr>
        <w:t>formula:</w:t>
      </w:r>
    </w:p>
    <w:p>
      <w:pPr>
        <w:pStyle w:val="BodyText"/>
      </w:pPr>
    </w:p>
    <w:p>
      <w:pPr>
        <w:spacing w:line="256" w:lineRule="exact" w:before="0"/>
        <w:ind w:left="1578" w:right="0" w:firstLine="0"/>
        <w:jc w:val="left"/>
        <w:rPr>
          <w:rFonts w:ascii="Cambria" w:eastAsia="Cambria"/>
          <w:i/>
          <w:sz w:val="24"/>
        </w:rPr>
      </w:pPr>
      <w:r>
        <w:rPr>
          <w:rFonts w:ascii="Cambria" w:eastAsia="Cambria"/>
          <w:i/>
          <w:sz w:val="24"/>
        </w:rPr>
        <w:t>𝑭𝒖𝒏𝒅𝒊𝒏𝒈 𝑳𝒆𝒗𝒆𝒍</w:t>
      </w:r>
    </w:p>
    <w:p>
      <w:pPr>
        <w:spacing w:after="0" w:line="256" w:lineRule="exact"/>
        <w:jc w:val="left"/>
        <w:rPr>
          <w:rFonts w:ascii="Cambria" w:eastAsia="Cambria"/>
          <w:sz w:val="24"/>
        </w:rPr>
        <w:sectPr>
          <w:pgSz w:w="12240" w:h="15840"/>
          <w:pgMar w:header="728" w:footer="788" w:top="1540" w:bottom="980" w:left="1160" w:right="420"/>
        </w:sectPr>
      </w:pPr>
    </w:p>
    <w:p>
      <w:pPr>
        <w:pStyle w:val="BodyText"/>
        <w:rPr>
          <w:rFonts w:ascii="Cambria"/>
          <w:i/>
          <w:sz w:val="26"/>
        </w:rPr>
      </w:pPr>
    </w:p>
    <w:p>
      <w:pPr>
        <w:pStyle w:val="BodyText"/>
        <w:spacing w:before="2"/>
        <w:rPr>
          <w:rFonts w:ascii="Cambria"/>
          <w:i/>
          <w:sz w:val="33"/>
        </w:rPr>
      </w:pPr>
    </w:p>
    <w:p>
      <w:pPr>
        <w:pStyle w:val="BodyText"/>
        <w:spacing w:before="1"/>
        <w:jc w:val="right"/>
      </w:pPr>
      <w:r>
        <w:rPr/>
        <w:t>Where:</w:t>
      </w:r>
    </w:p>
    <w:p>
      <w:pPr>
        <w:tabs>
          <w:tab w:pos="1217" w:val="left" w:leader="none"/>
        </w:tabs>
        <w:spacing w:line="196" w:lineRule="auto" w:before="9"/>
        <w:ind w:left="628" w:right="0" w:firstLine="0"/>
        <w:jc w:val="left"/>
        <w:rPr>
          <w:rFonts w:ascii="Cambria" w:hAnsi="Cambria" w:eastAsia="Cambria"/>
          <w:i/>
          <w:sz w:val="24"/>
        </w:rPr>
      </w:pPr>
      <w:r>
        <w:rPr/>
        <w:br w:type="column"/>
      </w:r>
      <w:r>
        <w:rPr>
          <w:rFonts w:ascii="Cambria" w:hAnsi="Cambria" w:eastAsia="Cambria"/>
          <w:i/>
          <w:w w:val="106"/>
          <w:position w:val="-17"/>
          <w:sz w:val="24"/>
        </w:rPr>
        <w:t>∝</w:t>
      </w:r>
      <w:r>
        <w:rPr>
          <w:rFonts w:ascii="Cambria" w:hAnsi="Cambria" w:eastAsia="Cambria"/>
          <w:i/>
          <w:position w:val="-17"/>
          <w:sz w:val="24"/>
        </w:rPr>
        <w:tab/>
      </w:r>
      <w:r>
        <w:rPr>
          <w:rFonts w:ascii="Cambria" w:hAnsi="Cambria" w:eastAsia="Cambria"/>
          <w:i/>
          <w:spacing w:val="-1"/>
          <w:w w:val="94"/>
          <w:sz w:val="24"/>
        </w:rPr>
        <w:t>𝑽𝒐𝒍𝒖𝒎</w:t>
      </w:r>
      <w:r>
        <w:rPr>
          <w:rFonts w:ascii="Cambria" w:hAnsi="Cambria" w:eastAsia="Cambria"/>
          <w:i/>
          <w:w w:val="94"/>
          <w:sz w:val="24"/>
        </w:rPr>
        <w:t>𝒆</w:t>
      </w:r>
      <w:r>
        <w:rPr>
          <w:rFonts w:ascii="Cambria" w:hAnsi="Cambria" w:eastAsia="Cambria"/>
          <w:i/>
          <w:w w:val="106"/>
          <w:sz w:val="24"/>
          <w:vertAlign w:val="subscript"/>
        </w:rPr>
        <w:t>𝑵𝑺𝑾𝑫</w:t>
      </w:r>
      <w:r>
        <w:rPr>
          <w:rFonts w:ascii="Cambria" w:hAnsi="Cambria" w:eastAsia="Cambria"/>
          <w:i/>
          <w:spacing w:val="8"/>
          <w:sz w:val="24"/>
          <w:vertAlign w:val="baseline"/>
        </w:rPr>
        <w:t> </w:t>
      </w:r>
      <w:r>
        <w:rPr>
          <w:rFonts w:ascii="Cambria" w:hAnsi="Cambria" w:eastAsia="Cambria"/>
          <w:i/>
          <w:w w:val="141"/>
          <w:sz w:val="24"/>
          <w:vertAlign w:val="baseline"/>
        </w:rPr>
        <w:t>+</w:t>
      </w:r>
      <w:r>
        <w:rPr>
          <w:rFonts w:ascii="Cambria" w:hAnsi="Cambria" w:eastAsia="Cambria"/>
          <w:i/>
          <w:sz w:val="24"/>
          <w:vertAlign w:val="baseline"/>
        </w:rPr>
        <w:t> </w:t>
      </w:r>
      <w:r>
        <w:rPr>
          <w:rFonts w:ascii="Cambria" w:hAnsi="Cambria" w:eastAsia="Cambria"/>
          <w:i/>
          <w:w w:val="98"/>
          <w:sz w:val="24"/>
          <w:vertAlign w:val="baseline"/>
        </w:rPr>
        <w:t>𝑽</w:t>
      </w:r>
      <w:r>
        <w:rPr>
          <w:rFonts w:ascii="Cambria" w:hAnsi="Cambria" w:eastAsia="Cambria"/>
          <w:i/>
          <w:spacing w:val="-1"/>
          <w:w w:val="87"/>
          <w:sz w:val="24"/>
          <w:vertAlign w:val="baseline"/>
        </w:rPr>
        <w:t>𝒐</w:t>
      </w:r>
      <w:r>
        <w:rPr>
          <w:rFonts w:ascii="Cambria" w:hAnsi="Cambria" w:eastAsia="Cambria"/>
          <w:i/>
          <w:spacing w:val="-1"/>
          <w:w w:val="56"/>
          <w:sz w:val="24"/>
          <w:vertAlign w:val="baseline"/>
        </w:rPr>
        <w:t>𝒍</w:t>
      </w:r>
      <w:r>
        <w:rPr>
          <w:rFonts w:ascii="Cambria" w:hAnsi="Cambria" w:eastAsia="Cambria"/>
          <w:i/>
          <w:w w:val="98"/>
          <w:sz w:val="24"/>
          <w:vertAlign w:val="baseline"/>
        </w:rPr>
        <w:t>𝒖</w:t>
      </w:r>
      <w:r>
        <w:rPr>
          <w:rFonts w:ascii="Cambria" w:hAnsi="Cambria" w:eastAsia="Cambria"/>
          <w:i/>
          <w:spacing w:val="-1"/>
          <w:w w:val="140"/>
          <w:sz w:val="24"/>
          <w:vertAlign w:val="baseline"/>
        </w:rPr>
        <w:t>𝒎</w:t>
      </w:r>
      <w:r>
        <w:rPr>
          <w:rFonts w:ascii="Cambria" w:hAnsi="Cambria" w:eastAsia="Cambria"/>
          <w:i/>
          <w:w w:val="83"/>
          <w:sz w:val="24"/>
          <w:vertAlign w:val="baseline"/>
        </w:rPr>
        <w:t>𝒆</w:t>
      </w:r>
      <w:r>
        <w:rPr>
          <w:rFonts w:ascii="Cambria" w:hAnsi="Cambria" w:eastAsia="Cambria"/>
          <w:i/>
          <w:w w:val="106"/>
          <w:sz w:val="24"/>
          <w:vertAlign w:val="subscript"/>
        </w:rPr>
        <w:t>𝑺𝑾𝑫</w:t>
      </w:r>
    </w:p>
    <w:p>
      <w:pPr>
        <w:spacing w:line="275" w:lineRule="exact" w:before="0"/>
        <w:ind w:left="863" w:right="0" w:firstLine="0"/>
        <w:jc w:val="left"/>
        <w:rPr>
          <w:rFonts w:ascii="Cambria" w:eastAsia="Cambria"/>
          <w:sz w:val="16"/>
        </w:rPr>
      </w:pPr>
      <w:r>
        <w:rPr/>
        <w:pict>
          <v:line style="position:absolute;mso-position-horizontal-relative:page;mso-position-vertical-relative:paragraph;z-index:-258586624" from="220.679993pt,-3.896144pt" to="406.199993pt,-3.896144pt" stroked="true" strokeweight=".78pt" strokecolor="#000000">
            <v:stroke dashstyle="solid"/>
            <w10:wrap type="none"/>
          </v:line>
        </w:pict>
      </w:r>
      <w:r>
        <w:rPr>
          <w:rFonts w:ascii="Cambria" w:eastAsia="Cambria"/>
          <w:i/>
          <w:w w:val="85"/>
          <w:position w:val="5"/>
          <w:sz w:val="24"/>
        </w:rPr>
        <w:t>𝑽𝒐𝒍𝒖𝒎𝒆</w:t>
      </w:r>
      <w:r>
        <w:rPr>
          <w:rFonts w:ascii="Cambria" w:eastAsia="Cambria"/>
          <w:i/>
          <w:w w:val="85"/>
          <w:sz w:val="17"/>
        </w:rPr>
        <w:t>𝑻𝒐𝒕𝒂𝒍 𝒓𝒆𝒈𝒊𝒐𝒏𝒂𝒍 𝒑𝒓𝒐𝒋𝒆𝒄𝒕</w:t>
      </w:r>
      <w:r>
        <w:rPr>
          <w:rFonts w:ascii="Cambria" w:eastAsia="Cambria"/>
          <w:i/>
          <w:spacing w:val="-19"/>
          <w:w w:val="85"/>
          <w:sz w:val="17"/>
        </w:rPr>
        <w:t> </w:t>
      </w:r>
      <w:r>
        <w:rPr>
          <w:rFonts w:ascii="Cambria" w:eastAsia="Cambria"/>
          <w:i/>
          <w:w w:val="85"/>
          <w:sz w:val="17"/>
        </w:rPr>
        <w:t>𝒄𝒂𝒑𝒂𝒄𝒊𝒕𝒚</w:t>
      </w:r>
      <w:r>
        <w:rPr>
          <w:rFonts w:ascii="Cambria" w:eastAsia="Cambria"/>
          <w:w w:val="85"/>
          <w:position w:val="11"/>
          <w:sz w:val="16"/>
        </w:rPr>
        <w:t>91</w:t>
      </w:r>
    </w:p>
    <w:p>
      <w:pPr>
        <w:spacing w:before="181"/>
        <w:ind w:left="52" w:right="0" w:firstLine="0"/>
        <w:jc w:val="left"/>
        <w:rPr>
          <w:rFonts w:ascii="Cambria" w:eastAsia="Cambria"/>
          <w:i/>
          <w:sz w:val="24"/>
        </w:rPr>
      </w:pPr>
      <w:r>
        <w:rPr/>
        <w:br w:type="column"/>
      </w:r>
      <w:r>
        <w:rPr>
          <w:rFonts w:ascii="Cambria" w:eastAsia="Cambria"/>
          <w:i/>
          <w:w w:val="85"/>
          <w:sz w:val="24"/>
        </w:rPr>
        <w:t>𝐱 𝐏𝐨𝐥𝐥𝐮𝐭𝐚𝐧𝐭 𝐥𝐞𝐯𝐞𝐥 𝐟𝐚𝐜𝐭𝐨𝐫</w:t>
      </w:r>
    </w:p>
    <w:p>
      <w:pPr>
        <w:spacing w:after="0"/>
        <w:jc w:val="left"/>
        <w:rPr>
          <w:rFonts w:ascii="Cambria" w:eastAsia="Cambria"/>
          <w:sz w:val="24"/>
        </w:rPr>
        <w:sectPr>
          <w:type w:val="continuous"/>
          <w:pgSz w:w="12240" w:h="15840"/>
          <w:pgMar w:top="1200" w:bottom="980" w:left="1160" w:right="420"/>
          <w:cols w:num="3" w:equalWidth="0">
            <w:col w:w="2350" w:space="40"/>
            <w:col w:w="4576" w:space="39"/>
            <w:col w:w="3655"/>
          </w:cols>
        </w:sectPr>
      </w:pPr>
    </w:p>
    <w:p>
      <w:pPr>
        <w:pStyle w:val="BodyText"/>
        <w:ind w:left="1576" w:right="2750"/>
      </w:pPr>
      <w:r>
        <w:rPr>
          <w:position w:val="1"/>
        </w:rPr>
        <w:t>Volume</w:t>
      </w:r>
      <w:r>
        <w:rPr>
          <w:sz w:val="16"/>
        </w:rPr>
        <w:t>NSWD = </w:t>
      </w:r>
      <w:r>
        <w:rPr>
          <w:position w:val="1"/>
        </w:rPr>
        <w:t>Authorized non-stormwater discharge volume Volume</w:t>
      </w:r>
      <w:r>
        <w:rPr>
          <w:sz w:val="16"/>
        </w:rPr>
        <w:t>SWD </w:t>
      </w:r>
      <w:r>
        <w:rPr>
          <w:position w:val="1"/>
        </w:rPr>
        <w:t>= Onsite stormwater runoff volume</w:t>
      </w:r>
    </w:p>
    <w:p>
      <w:pPr>
        <w:pStyle w:val="BodyText"/>
        <w:spacing w:before="10"/>
        <w:rPr>
          <w:sz w:val="20"/>
        </w:rPr>
      </w:pPr>
    </w:p>
    <w:p>
      <w:pPr>
        <w:pStyle w:val="Heading1"/>
        <w:numPr>
          <w:ilvl w:val="2"/>
          <w:numId w:val="34"/>
        </w:numPr>
        <w:tabs>
          <w:tab w:pos="1100" w:val="left" w:leader="none"/>
          <w:tab w:pos="1101" w:val="left" w:leader="none"/>
        </w:tabs>
        <w:spacing w:line="240" w:lineRule="auto" w:before="0" w:after="0"/>
        <w:ind w:left="1100" w:right="1864" w:hanging="821"/>
        <w:jc w:val="left"/>
      </w:pPr>
      <w:r>
        <w:rPr/>
        <w:t>Compliance Option 2 – Facility-Specific Design Standard to</w:t>
      </w:r>
      <w:r>
        <w:rPr>
          <w:spacing w:val="-45"/>
        </w:rPr>
        <w:t> </w:t>
      </w:r>
      <w:r>
        <w:rPr/>
        <w:t>Reduce Stormwater</w:t>
      </w:r>
      <w:r>
        <w:rPr>
          <w:spacing w:val="-1"/>
        </w:rPr>
        <w:t> </w:t>
      </w:r>
      <w:r>
        <w:rPr/>
        <w:t>Runoff.</w:t>
      </w:r>
    </w:p>
    <w:p>
      <w:pPr>
        <w:pStyle w:val="BodyText"/>
        <w:spacing w:before="10"/>
        <w:rPr>
          <w:b/>
          <w:sz w:val="20"/>
        </w:rPr>
      </w:pPr>
    </w:p>
    <w:p>
      <w:pPr>
        <w:pStyle w:val="ListParagraph"/>
        <w:numPr>
          <w:ilvl w:val="3"/>
          <w:numId w:val="34"/>
        </w:numPr>
        <w:tabs>
          <w:tab w:pos="1359" w:val="left" w:leader="none"/>
          <w:tab w:pos="1360" w:val="left" w:leader="none"/>
        </w:tabs>
        <w:spacing w:line="240" w:lineRule="auto" w:before="0" w:after="0"/>
        <w:ind w:left="1359" w:right="1040" w:hanging="1080"/>
        <w:jc w:val="left"/>
        <w:rPr>
          <w:sz w:val="24"/>
        </w:rPr>
      </w:pPr>
      <w:r>
        <w:rPr>
          <w:sz w:val="24"/>
        </w:rPr>
        <w:t>The intent of this compliance option is to minimize the regulatory uncertainty and costs concerning treatment control BMPs. Section 9.2 of the Order and Attachment I specify a design storm standard for use when stormwater capture and treatment BMPs are installed. This Order specifies a volume- based design storm standard for this compliance option based on the 85th percentile 24-hour storm event. Without a design storm standard, Dischargers may install treatment controls using a wide variety of designs that are either unnecessarily stringent/expensive, or deficient in complying with the requirements of this General</w:t>
      </w:r>
      <w:r>
        <w:rPr>
          <w:spacing w:val="-1"/>
          <w:sz w:val="24"/>
        </w:rPr>
        <w:t> </w:t>
      </w:r>
      <w:r>
        <w:rPr>
          <w:sz w:val="24"/>
        </w:rPr>
        <w:t>Permit.</w:t>
      </w:r>
    </w:p>
    <w:p>
      <w:pPr>
        <w:pStyle w:val="BodyText"/>
        <w:rPr>
          <w:sz w:val="20"/>
        </w:rPr>
      </w:pPr>
    </w:p>
    <w:p>
      <w:pPr>
        <w:pStyle w:val="BodyText"/>
        <w:rPr>
          <w:sz w:val="20"/>
        </w:rPr>
      </w:pPr>
    </w:p>
    <w:p>
      <w:pPr>
        <w:pStyle w:val="BodyText"/>
        <w:spacing w:before="7"/>
      </w:pPr>
      <w:r>
        <w:rPr/>
        <w:pict>
          <v:shape style="position:absolute;margin-left:72pt;margin-top:16.411219pt;width:144pt;height:.1pt;mso-position-horizontal-relative:page;mso-position-vertical-relative:paragraph;z-index:-251620352;mso-wrap-distance-left:0;mso-wrap-distance-right:0" coordorigin="1440,328" coordsize="2880,0" path="m1440,328l4320,328e" filled="false" stroked="true" strokeweight=".600010pt" strokecolor="#000000">
            <v:path arrowok="t"/>
            <v:stroke dashstyle="solid"/>
            <w10:wrap type="topAndBottom"/>
          </v:shape>
        </w:pict>
      </w:r>
    </w:p>
    <w:p>
      <w:pPr>
        <w:pStyle w:val="BodyText"/>
        <w:rPr>
          <w:sz w:val="20"/>
        </w:rPr>
      </w:pPr>
    </w:p>
    <w:p>
      <w:pPr>
        <w:pStyle w:val="BodyText"/>
        <w:spacing w:before="5"/>
        <w:rPr>
          <w:sz w:val="22"/>
        </w:rPr>
      </w:pPr>
    </w:p>
    <w:p>
      <w:pPr>
        <w:spacing w:before="95"/>
        <w:ind w:left="279" w:right="1035" w:firstLine="0"/>
        <w:jc w:val="left"/>
        <w:rPr>
          <w:sz w:val="20"/>
        </w:rPr>
      </w:pPr>
      <w:r>
        <w:rPr>
          <w:position w:val="7"/>
          <w:sz w:val="13"/>
        </w:rPr>
        <w:t>91 </w:t>
      </w:r>
      <w:r>
        <w:rPr>
          <w:sz w:val="20"/>
        </w:rPr>
        <w:t>Total stormwater capacity could be a regional BMP project capacity, or total regional BMP stormwater capacity for multiple drainage areas or the entire watershed</w:t>
      </w:r>
    </w:p>
    <w:p>
      <w:pPr>
        <w:spacing w:after="0"/>
        <w:jc w:val="left"/>
        <w:rPr>
          <w:sz w:val="20"/>
        </w:rPr>
        <w:sectPr>
          <w:type w:val="continuous"/>
          <w:pgSz w:w="12240" w:h="15840"/>
          <w:pgMar w:top="1200" w:bottom="980" w:left="1160" w:right="420"/>
        </w:sectPr>
      </w:pPr>
    </w:p>
    <w:p>
      <w:pPr>
        <w:pStyle w:val="BodyText"/>
        <w:spacing w:before="11"/>
        <w:rPr>
          <w:sz w:val="15"/>
        </w:rPr>
      </w:pPr>
    </w:p>
    <w:p>
      <w:pPr>
        <w:pStyle w:val="ListParagraph"/>
        <w:numPr>
          <w:ilvl w:val="3"/>
          <w:numId w:val="34"/>
        </w:numPr>
        <w:tabs>
          <w:tab w:pos="1359" w:val="left" w:leader="none"/>
          <w:tab w:pos="1360" w:val="left" w:leader="none"/>
        </w:tabs>
        <w:spacing w:line="240" w:lineRule="auto" w:before="92" w:after="0"/>
        <w:ind w:left="1359" w:right="1171" w:hanging="1080"/>
        <w:jc w:val="left"/>
        <w:rPr>
          <w:sz w:val="24"/>
        </w:rPr>
      </w:pPr>
      <w:r>
        <w:rPr>
          <w:sz w:val="24"/>
        </w:rPr>
        <w:t>Discharge reduction/volume based BMPs have multiple benefits such as groundwater recharge, flood control, or supporting the local water supply system through the use of storm water instead of potable water for certain processes (e.g., irrigation). Volume-based BMPs sized can remove a significant portion of pollutants from discharging to the receiving waters. This Order sets a compliance storm standard at the daily volume of the 85th percentile 24-hour storm event as defined in Attachment I, Section 1.1.4. for storm water discharges and authorized</w:t>
      </w:r>
      <w:r>
        <w:rPr>
          <w:spacing w:val="-4"/>
          <w:sz w:val="24"/>
        </w:rPr>
        <w:t> </w:t>
      </w:r>
      <w:r>
        <w:rPr>
          <w:sz w:val="24"/>
        </w:rPr>
        <w:t>NSWDs.</w:t>
      </w:r>
    </w:p>
    <w:p>
      <w:pPr>
        <w:pStyle w:val="BodyText"/>
        <w:spacing w:before="1"/>
        <w:rPr>
          <w:sz w:val="21"/>
        </w:rPr>
      </w:pPr>
    </w:p>
    <w:p>
      <w:pPr>
        <w:pStyle w:val="ListParagraph"/>
        <w:numPr>
          <w:ilvl w:val="3"/>
          <w:numId w:val="34"/>
        </w:numPr>
        <w:tabs>
          <w:tab w:pos="1358" w:val="left" w:leader="none"/>
          <w:tab w:pos="1360" w:val="left" w:leader="none"/>
        </w:tabs>
        <w:spacing w:line="237" w:lineRule="auto" w:before="0" w:after="0"/>
        <w:ind w:left="1359" w:right="1122" w:hanging="1080"/>
        <w:jc w:val="left"/>
        <w:rPr>
          <w:sz w:val="24"/>
        </w:rPr>
      </w:pPr>
      <w:r>
        <w:rPr>
          <w:sz w:val="24"/>
        </w:rPr>
        <w:t>The design storm standard in this Order is the same as the statewide compliance storm standard at the 85</w:t>
      </w:r>
      <w:r>
        <w:rPr>
          <w:position w:val="8"/>
          <w:sz w:val="16"/>
        </w:rPr>
        <w:t>th </w:t>
      </w:r>
      <w:r>
        <w:rPr>
          <w:sz w:val="24"/>
        </w:rPr>
        <w:t>percentile 24-hour storm event (daily volume) for Dischargers that choose to implement the on-site compliance option under the IGP. To arrive at this compliance storm standard, the State Water Board used a continuous simulation model (model) </w:t>
      </w:r>
      <w:r>
        <w:rPr>
          <w:position w:val="8"/>
          <w:sz w:val="16"/>
        </w:rPr>
        <w:t>92 </w:t>
      </w:r>
      <w:r>
        <w:rPr>
          <w:sz w:val="24"/>
        </w:rPr>
        <w:t>to evaluate the pollutant</w:t>
      </w:r>
      <w:r>
        <w:rPr>
          <w:spacing w:val="-5"/>
          <w:sz w:val="24"/>
        </w:rPr>
        <w:t> </w:t>
      </w:r>
      <w:r>
        <w:rPr>
          <w:sz w:val="24"/>
        </w:rPr>
        <w:t>removal</w:t>
      </w:r>
      <w:r>
        <w:rPr>
          <w:spacing w:val="-4"/>
          <w:sz w:val="24"/>
        </w:rPr>
        <w:t> </w:t>
      </w:r>
      <w:r>
        <w:rPr>
          <w:sz w:val="24"/>
        </w:rPr>
        <w:t>efficiency</w:t>
      </w:r>
      <w:r>
        <w:rPr>
          <w:spacing w:val="-5"/>
          <w:sz w:val="24"/>
        </w:rPr>
        <w:t> </w:t>
      </w:r>
      <w:r>
        <w:rPr>
          <w:sz w:val="24"/>
        </w:rPr>
        <w:t>associated</w:t>
      </w:r>
      <w:r>
        <w:rPr>
          <w:spacing w:val="-4"/>
          <w:sz w:val="24"/>
        </w:rPr>
        <w:t> </w:t>
      </w:r>
      <w:r>
        <w:rPr>
          <w:sz w:val="24"/>
        </w:rPr>
        <w:t>with</w:t>
      </w:r>
      <w:r>
        <w:rPr>
          <w:spacing w:val="-5"/>
          <w:sz w:val="24"/>
        </w:rPr>
        <w:t> </w:t>
      </w:r>
      <w:r>
        <w:rPr>
          <w:sz w:val="24"/>
        </w:rPr>
        <w:t>the</w:t>
      </w:r>
      <w:r>
        <w:rPr>
          <w:spacing w:val="-4"/>
          <w:sz w:val="24"/>
        </w:rPr>
        <w:t> </w:t>
      </w:r>
      <w:r>
        <w:rPr>
          <w:sz w:val="24"/>
        </w:rPr>
        <w:t>use</w:t>
      </w:r>
      <w:r>
        <w:rPr>
          <w:spacing w:val="-5"/>
          <w:sz w:val="24"/>
        </w:rPr>
        <w:t> </w:t>
      </w:r>
      <w:r>
        <w:rPr>
          <w:sz w:val="24"/>
        </w:rPr>
        <w:t>of</w:t>
      </w:r>
      <w:r>
        <w:rPr>
          <w:spacing w:val="-4"/>
          <w:sz w:val="24"/>
        </w:rPr>
        <w:t> </w:t>
      </w:r>
      <w:r>
        <w:rPr>
          <w:sz w:val="24"/>
        </w:rPr>
        <w:t>the</w:t>
      </w:r>
      <w:r>
        <w:rPr>
          <w:spacing w:val="-5"/>
          <w:sz w:val="24"/>
        </w:rPr>
        <w:t> </w:t>
      </w:r>
      <w:r>
        <w:rPr>
          <w:sz w:val="24"/>
        </w:rPr>
        <w:t>85th</w:t>
      </w:r>
      <w:r>
        <w:rPr>
          <w:spacing w:val="-4"/>
          <w:sz w:val="24"/>
        </w:rPr>
        <w:t> </w:t>
      </w:r>
      <w:r>
        <w:rPr>
          <w:sz w:val="24"/>
        </w:rPr>
        <w:t>percentile</w:t>
      </w:r>
      <w:r>
        <w:rPr>
          <w:spacing w:val="-5"/>
          <w:sz w:val="24"/>
        </w:rPr>
        <w:t> </w:t>
      </w:r>
      <w:r>
        <w:rPr>
          <w:sz w:val="24"/>
        </w:rPr>
        <w:t>24- hour storm event for BMP sizing for the Los Angeles River and Tributaries Metals TMDLs (Los Angeles River Metals TMDLs).</w:t>
      </w:r>
      <w:r>
        <w:rPr>
          <w:position w:val="8"/>
          <w:sz w:val="16"/>
        </w:rPr>
        <w:t>93 </w:t>
      </w:r>
      <w:r>
        <w:rPr>
          <w:sz w:val="24"/>
        </w:rPr>
        <w:t>The State Water Board evaluated and found that the model findings and this compliance standard is applicable</w:t>
      </w:r>
      <w:r>
        <w:rPr>
          <w:spacing w:val="-1"/>
          <w:sz w:val="24"/>
        </w:rPr>
        <w:t> </w:t>
      </w:r>
      <w:r>
        <w:rPr>
          <w:sz w:val="24"/>
        </w:rPr>
        <w:t>statewide.</w:t>
      </w:r>
    </w:p>
    <w:p>
      <w:pPr>
        <w:pStyle w:val="BodyText"/>
        <w:spacing w:before="11"/>
      </w:pPr>
    </w:p>
    <w:p>
      <w:pPr>
        <w:pStyle w:val="BodyText"/>
        <w:ind w:left="1359" w:right="1115"/>
      </w:pPr>
      <w:r>
        <w:rPr/>
        <w:t>Dischargers should be aware of the potential unintended public health concerns associated with treatment control BMPs. Extensive monitoring studies conducted by the California Department of Public Health have documented that mosquitoes opportunistically breed in structural BMPs, particularly those that hold standing water for over 96 hours. BMPs that produce mosquitoes create potential public health concerns and increase the burden on local vector control agencies that are mandated to inspect for and abate mosquitoes and other vectors within their jurisdictional boundaries.</w:t>
      </w:r>
    </w:p>
    <w:p>
      <w:pPr>
        <w:pStyle w:val="BodyText"/>
        <w:ind w:left="1359" w:right="1143"/>
      </w:pPr>
      <w:r>
        <w:rPr/>
        <w:t>These unintended consequences can be lessened when BMPs incorporate design, construction, and maintenance principles developed specifically to minimize standing water available to mosquitoes</w:t>
      </w:r>
      <w:r>
        <w:rPr>
          <w:position w:val="8"/>
          <w:sz w:val="16"/>
        </w:rPr>
        <w:t>94 </w:t>
      </w:r>
      <w:r>
        <w:rPr/>
        <w:t>while having negligible effects on the capacity of the structures to provide water quality improvements. The California Health and Safety Code prohibits landowners from knowingly providing habitat for or allowing the production of mosquitoes</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13"/>
        </w:rPr>
      </w:pPr>
      <w:r>
        <w:rPr/>
        <w:pict>
          <v:shape style="position:absolute;margin-left:72pt;margin-top:9.940034pt;width:144pt;height:.1pt;mso-position-horizontal-relative:page;mso-position-vertical-relative:paragraph;z-index:-251618304;mso-wrap-distance-left:0;mso-wrap-distance-right:0" coordorigin="1440,199" coordsize="2880,0" path="m1440,199l4320,199e" filled="false" stroked="true" strokeweight=".600010pt" strokecolor="#000000">
            <v:path arrowok="t"/>
            <v:stroke dashstyle="solid"/>
            <w10:wrap type="topAndBottom"/>
          </v:shape>
        </w:pict>
      </w:r>
    </w:p>
    <w:p>
      <w:pPr>
        <w:pStyle w:val="BodyText"/>
        <w:rPr>
          <w:sz w:val="20"/>
        </w:rPr>
      </w:pPr>
    </w:p>
    <w:p>
      <w:pPr>
        <w:pStyle w:val="BodyText"/>
        <w:spacing w:before="5"/>
        <w:rPr>
          <w:sz w:val="22"/>
        </w:rPr>
      </w:pPr>
    </w:p>
    <w:p>
      <w:pPr>
        <w:spacing w:line="232" w:lineRule="exact" w:before="95"/>
        <w:ind w:left="280" w:right="0" w:firstLine="0"/>
        <w:jc w:val="left"/>
        <w:rPr>
          <w:sz w:val="20"/>
        </w:rPr>
      </w:pPr>
      <w:r>
        <w:rPr>
          <w:position w:val="7"/>
          <w:sz w:val="13"/>
        </w:rPr>
        <w:t>92 </w:t>
      </w:r>
      <w:r>
        <w:rPr>
          <w:sz w:val="20"/>
        </w:rPr>
        <w:t>TMDL Alternative Model [Microsoft Excel Spreadsheet], GSI Environmental (March 31, 2017)</w:t>
      </w:r>
    </w:p>
    <w:p>
      <w:pPr>
        <w:spacing w:line="230" w:lineRule="exact" w:before="0"/>
        <w:ind w:left="280" w:right="0" w:firstLine="0"/>
        <w:jc w:val="left"/>
        <w:rPr>
          <w:sz w:val="20"/>
        </w:rPr>
      </w:pPr>
      <w:r>
        <w:rPr>
          <w:position w:val="7"/>
          <w:sz w:val="13"/>
        </w:rPr>
        <w:t>93 </w:t>
      </w:r>
      <w:r>
        <w:rPr>
          <w:sz w:val="20"/>
        </w:rPr>
        <w:t>Los Angeles River Metals TMDL Staff Report</w:t>
      </w:r>
    </w:p>
    <w:p>
      <w:pPr>
        <w:spacing w:line="240" w:lineRule="auto" w:before="0"/>
        <w:ind w:left="280" w:right="1035" w:firstLine="0"/>
        <w:jc w:val="left"/>
        <w:rPr>
          <w:sz w:val="24"/>
        </w:rPr>
      </w:pPr>
      <w:r>
        <w:rPr>
          <w:position w:val="8"/>
          <w:sz w:val="16"/>
        </w:rPr>
        <w:t>94 </w:t>
      </w:r>
      <w:r>
        <w:rPr>
          <w:sz w:val="24"/>
        </w:rPr>
        <w:t>California Department of Public Health. (2012). </w:t>
      </w:r>
      <w:r>
        <w:rPr>
          <w:i/>
          <w:sz w:val="24"/>
        </w:rPr>
        <w:t>Best Management Practices for </w:t>
      </w:r>
      <w:r>
        <w:rPr>
          <w:i/>
          <w:sz w:val="24"/>
        </w:rPr>
        <w:t>Mosquito Control in California</w:t>
      </w:r>
      <w:r>
        <w:rPr>
          <w:sz w:val="24"/>
        </w:rPr>
        <w:t>.</w:t>
      </w:r>
    </w:p>
    <w:p>
      <w:pPr>
        <w:spacing w:after="0" w:line="240" w:lineRule="auto"/>
        <w:jc w:val="left"/>
        <w:rPr>
          <w:sz w:val="24"/>
        </w:rPr>
        <w:sectPr>
          <w:pgSz w:w="12240" w:h="15840"/>
          <w:pgMar w:header="728" w:footer="788" w:top="1540" w:bottom="980" w:left="1160" w:right="420"/>
        </w:sectPr>
      </w:pPr>
    </w:p>
    <w:p>
      <w:pPr>
        <w:pStyle w:val="BodyText"/>
        <w:spacing w:before="11"/>
        <w:rPr>
          <w:sz w:val="15"/>
        </w:rPr>
      </w:pPr>
    </w:p>
    <w:p>
      <w:pPr>
        <w:pStyle w:val="BodyText"/>
        <w:spacing w:line="235" w:lineRule="auto" w:before="97"/>
        <w:ind w:left="1360" w:right="1209"/>
        <w:rPr>
          <w:sz w:val="16"/>
        </w:rPr>
      </w:pPr>
      <w:r>
        <w:rPr/>
        <w:t>and other vectors and gives local vector control agencies broad inspection and abatement powers.</w:t>
      </w:r>
      <w:r>
        <w:rPr>
          <w:position w:val="8"/>
          <w:sz w:val="16"/>
        </w:rPr>
        <w:t>95</w:t>
      </w:r>
    </w:p>
    <w:p>
      <w:pPr>
        <w:pStyle w:val="ListParagraph"/>
        <w:numPr>
          <w:ilvl w:val="3"/>
          <w:numId w:val="34"/>
        </w:numPr>
        <w:tabs>
          <w:tab w:pos="1359" w:val="left" w:leader="none"/>
          <w:tab w:pos="1360" w:val="left" w:leader="none"/>
        </w:tabs>
        <w:spacing w:line="240" w:lineRule="auto" w:before="241" w:after="0"/>
        <w:ind w:left="1360" w:right="1057" w:hanging="1080"/>
        <w:jc w:val="left"/>
        <w:rPr>
          <w:sz w:val="24"/>
        </w:rPr>
      </w:pPr>
      <w:r>
        <w:rPr>
          <w:sz w:val="24"/>
        </w:rPr>
        <w:t>This Order includes groundwater protection standards for infiltration BMPs if installed for the Compliance Option 2 described in Attachment I. Storm water traveling across a CII facility into an infiltration BMP can pick up various pollutants and deliver them to the subsurface. Dischargers using infiltration BMPs</w:t>
      </w:r>
      <w:r>
        <w:rPr>
          <w:spacing w:val="-6"/>
          <w:sz w:val="24"/>
        </w:rPr>
        <w:t> </w:t>
      </w:r>
      <w:r>
        <w:rPr>
          <w:sz w:val="24"/>
        </w:rPr>
        <w:t>must</w:t>
      </w:r>
      <w:r>
        <w:rPr>
          <w:spacing w:val="-6"/>
          <w:sz w:val="24"/>
        </w:rPr>
        <w:t> </w:t>
      </w:r>
      <w:r>
        <w:rPr>
          <w:sz w:val="24"/>
        </w:rPr>
        <w:t>demonstrate</w:t>
      </w:r>
      <w:r>
        <w:rPr>
          <w:spacing w:val="-5"/>
          <w:sz w:val="24"/>
        </w:rPr>
        <w:t> </w:t>
      </w:r>
      <w:r>
        <w:rPr>
          <w:sz w:val="24"/>
        </w:rPr>
        <w:t>compliance</w:t>
      </w:r>
      <w:r>
        <w:rPr>
          <w:spacing w:val="-6"/>
          <w:sz w:val="24"/>
        </w:rPr>
        <w:t> </w:t>
      </w:r>
      <w:r>
        <w:rPr>
          <w:sz w:val="24"/>
        </w:rPr>
        <w:t>with</w:t>
      </w:r>
      <w:r>
        <w:rPr>
          <w:spacing w:val="-5"/>
          <w:sz w:val="24"/>
        </w:rPr>
        <w:t> </w:t>
      </w:r>
      <w:r>
        <w:rPr>
          <w:sz w:val="24"/>
        </w:rPr>
        <w:t>MCLs</w:t>
      </w:r>
      <w:r>
        <w:rPr>
          <w:spacing w:val="-5"/>
          <w:sz w:val="24"/>
        </w:rPr>
        <w:t> </w:t>
      </w:r>
      <w:r>
        <w:rPr>
          <w:sz w:val="24"/>
        </w:rPr>
        <w:t>for</w:t>
      </w:r>
      <w:r>
        <w:rPr>
          <w:spacing w:val="-6"/>
          <w:sz w:val="24"/>
        </w:rPr>
        <w:t> </w:t>
      </w:r>
      <w:r>
        <w:rPr>
          <w:sz w:val="24"/>
        </w:rPr>
        <w:t>pollutants</w:t>
      </w:r>
      <w:r>
        <w:rPr>
          <w:spacing w:val="-5"/>
          <w:sz w:val="24"/>
        </w:rPr>
        <w:t> </w:t>
      </w:r>
      <w:r>
        <w:rPr>
          <w:sz w:val="24"/>
        </w:rPr>
        <w:t>associated</w:t>
      </w:r>
      <w:r>
        <w:rPr>
          <w:spacing w:val="-6"/>
          <w:sz w:val="24"/>
        </w:rPr>
        <w:t> </w:t>
      </w:r>
      <w:r>
        <w:rPr>
          <w:sz w:val="24"/>
        </w:rPr>
        <w:t>with CII activities in the influent of the infiltration</w:t>
      </w:r>
      <w:r>
        <w:rPr>
          <w:spacing w:val="-7"/>
          <w:sz w:val="24"/>
        </w:rPr>
        <w:t> </w:t>
      </w:r>
      <w:r>
        <w:rPr>
          <w:sz w:val="24"/>
        </w:rPr>
        <w:t>BMP(s).</w:t>
      </w:r>
    </w:p>
    <w:p>
      <w:pPr>
        <w:pStyle w:val="BodyText"/>
        <w:spacing w:before="10"/>
        <w:rPr>
          <w:sz w:val="20"/>
        </w:rPr>
      </w:pPr>
    </w:p>
    <w:p>
      <w:pPr>
        <w:pStyle w:val="Heading1"/>
        <w:numPr>
          <w:ilvl w:val="2"/>
          <w:numId w:val="34"/>
        </w:numPr>
        <w:tabs>
          <w:tab w:pos="1100" w:val="left" w:leader="none"/>
          <w:tab w:pos="1101" w:val="left" w:leader="none"/>
        </w:tabs>
        <w:spacing w:line="240" w:lineRule="auto" w:before="1" w:after="0"/>
        <w:ind w:left="1100" w:right="1224" w:hanging="821"/>
        <w:jc w:val="left"/>
      </w:pPr>
      <w:r>
        <w:rPr/>
        <w:t>Compliance Option 3 – Direct Demonstration of Compliance with</w:t>
      </w:r>
      <w:r>
        <w:rPr>
          <w:spacing w:val="-42"/>
        </w:rPr>
        <w:t> </w:t>
      </w:r>
      <w:r>
        <w:rPr/>
        <w:t>Effluent Limitations.</w:t>
      </w:r>
    </w:p>
    <w:p>
      <w:pPr>
        <w:pStyle w:val="BodyText"/>
        <w:spacing w:before="11"/>
        <w:rPr>
          <w:b/>
          <w:sz w:val="23"/>
        </w:rPr>
      </w:pPr>
    </w:p>
    <w:p>
      <w:pPr>
        <w:pStyle w:val="BodyText"/>
        <w:ind w:left="1100" w:right="1121"/>
      </w:pPr>
      <w:r>
        <w:rPr/>
        <w:t>This option consists of direct application of numeric effluent limitations and ensures compliance with applicable water quality standards for the pollutants of concern associated with discharges from CII facilities. The intent of this compliance option is to allow the Discharger flexibility if they do not wish to participate in Compliance Options 1 or 2.</w:t>
      </w:r>
    </w:p>
    <w:p>
      <w:pPr>
        <w:pStyle w:val="BodyText"/>
        <w:spacing w:before="10"/>
        <w:rPr>
          <w:sz w:val="20"/>
        </w:rPr>
      </w:pPr>
    </w:p>
    <w:p>
      <w:pPr>
        <w:pStyle w:val="Heading1"/>
        <w:numPr>
          <w:ilvl w:val="1"/>
          <w:numId w:val="30"/>
        </w:numPr>
        <w:tabs>
          <w:tab w:pos="871" w:val="left" w:leader="none"/>
        </w:tabs>
        <w:spacing w:line="240" w:lineRule="auto" w:before="0" w:after="0"/>
        <w:ind w:left="870" w:right="0" w:hanging="591"/>
        <w:jc w:val="left"/>
      </w:pPr>
      <w:r>
        <w:rPr/>
        <w:t>Monitoring and Reporting</w:t>
      </w:r>
      <w:r>
        <w:rPr>
          <w:spacing w:val="-2"/>
        </w:rPr>
        <w:t> </w:t>
      </w:r>
      <w:r>
        <w:rPr/>
        <w:t>Requirements.</w:t>
      </w:r>
    </w:p>
    <w:p>
      <w:pPr>
        <w:pStyle w:val="BodyText"/>
        <w:rPr>
          <w:b/>
        </w:rPr>
      </w:pPr>
    </w:p>
    <w:p>
      <w:pPr>
        <w:pStyle w:val="BodyText"/>
        <w:ind w:left="870" w:right="1004"/>
      </w:pPr>
      <w:r>
        <w:rPr/>
        <w:t>The Monitoring and Reporting Program (MRP) (Attachment E) establishes monitoring, reporting, and recordkeeping requirements for each compliance option that implement federal and state laws and/or regulations. Monitoring, and reporting of the monitoring results as well as other information on implementation of permit requirements are critical components of this General Permit. Monitoring is performed to determine compliance with the applicable requirements of the General Permit, identify sources of pollutants in the Permittee’s discharge, assess and improve the effectiveness of BMPs and other pollutant control measures, and characterize pollutant loading in residual designation stormwater discharges and receiving water.</w:t>
      </w:r>
    </w:p>
    <w:p>
      <w:pPr>
        <w:pStyle w:val="BodyText"/>
        <w:spacing w:before="9"/>
        <w:rPr>
          <w:sz w:val="20"/>
        </w:rPr>
      </w:pPr>
    </w:p>
    <w:p>
      <w:pPr>
        <w:pStyle w:val="Heading1"/>
        <w:numPr>
          <w:ilvl w:val="2"/>
          <w:numId w:val="30"/>
        </w:numPr>
        <w:tabs>
          <w:tab w:pos="1101" w:val="left" w:leader="none"/>
        </w:tabs>
        <w:spacing w:line="240" w:lineRule="auto" w:before="0" w:after="0"/>
        <w:ind w:left="1100" w:right="0" w:hanging="822"/>
        <w:jc w:val="left"/>
      </w:pPr>
      <w:r>
        <w:rPr/>
        <w:t>Authorities Supporting Monitoring and</w:t>
      </w:r>
      <w:r>
        <w:rPr>
          <w:spacing w:val="-3"/>
        </w:rPr>
        <w:t> </w:t>
      </w:r>
      <w:r>
        <w:rPr/>
        <w:t>Reporting.</w:t>
      </w:r>
    </w:p>
    <w:p>
      <w:pPr>
        <w:pStyle w:val="BodyText"/>
        <w:spacing w:before="10"/>
        <w:rPr>
          <w:b/>
          <w:sz w:val="20"/>
        </w:rPr>
      </w:pPr>
    </w:p>
    <w:p>
      <w:pPr>
        <w:pStyle w:val="ListParagraph"/>
        <w:numPr>
          <w:ilvl w:val="3"/>
          <w:numId w:val="30"/>
        </w:numPr>
        <w:tabs>
          <w:tab w:pos="1360" w:val="left" w:leader="none"/>
        </w:tabs>
        <w:spacing w:line="240" w:lineRule="auto" w:before="0" w:after="0"/>
        <w:ind w:left="1359" w:right="1041" w:hanging="1080"/>
        <w:jc w:val="left"/>
        <w:rPr>
          <w:sz w:val="24"/>
        </w:rPr>
      </w:pPr>
      <w:r>
        <w:rPr>
          <w:sz w:val="24"/>
        </w:rPr>
        <w:t>Sections 308(a) and 402(a)(2) of the CWA, and 40 CFR sections 122.41(h), (j)-(l), 122.44(i), and 122.48 require that all NPDES permits specify monitoring and reporting requirements and establish substantive monitoring and reporting requirements. Section 13383 of the CWC further authorizes the Los Angeles Water Board to establish monitoring, reporting, and recordkeeping requirements.</w:t>
      </w:r>
    </w:p>
    <w:p>
      <w:pPr>
        <w:pStyle w:val="BodyText"/>
        <w:rPr>
          <w:sz w:val="20"/>
        </w:rPr>
      </w:pPr>
    </w:p>
    <w:p>
      <w:pPr>
        <w:pStyle w:val="BodyText"/>
        <w:spacing w:before="4"/>
        <w:rPr>
          <w:sz w:val="26"/>
        </w:rPr>
      </w:pPr>
      <w:r>
        <w:rPr/>
        <w:pict>
          <v:shape style="position:absolute;margin-left:72pt;margin-top:17.437515pt;width:144pt;height:.1pt;mso-position-horizontal-relative:page;mso-position-vertical-relative:paragraph;z-index:-251617280;mso-wrap-distance-left:0;mso-wrap-distance-right:0" coordorigin="1440,349" coordsize="2880,0" path="m1440,349l4320,349e" filled="false" stroked="true" strokeweight=".600010pt" strokecolor="#000000">
            <v:path arrowok="t"/>
            <v:stroke dashstyle="solid"/>
            <w10:wrap type="topAndBottom"/>
          </v:shape>
        </w:pict>
      </w:r>
    </w:p>
    <w:p>
      <w:pPr>
        <w:pStyle w:val="BodyText"/>
        <w:rPr>
          <w:sz w:val="20"/>
        </w:rPr>
      </w:pPr>
    </w:p>
    <w:p>
      <w:pPr>
        <w:pStyle w:val="BodyText"/>
        <w:spacing w:before="5"/>
        <w:rPr>
          <w:sz w:val="22"/>
        </w:rPr>
      </w:pPr>
    </w:p>
    <w:p>
      <w:pPr>
        <w:pStyle w:val="BodyText"/>
        <w:spacing w:before="95"/>
        <w:ind w:left="280"/>
      </w:pPr>
      <w:r>
        <w:rPr>
          <w:position w:val="8"/>
          <w:sz w:val="16"/>
        </w:rPr>
        <w:t>95 </w:t>
      </w:r>
      <w:r>
        <w:rPr/>
        <w:t>California Health and Safety Code, Division 3, Section 2060 and following.</w:t>
      </w:r>
    </w:p>
    <w:p>
      <w:pPr>
        <w:spacing w:after="0"/>
        <w:sectPr>
          <w:pgSz w:w="12240" w:h="15840"/>
          <w:pgMar w:header="728" w:footer="788" w:top="1540" w:bottom="980" w:left="1160" w:right="420"/>
        </w:sectPr>
      </w:pPr>
    </w:p>
    <w:p>
      <w:pPr>
        <w:pStyle w:val="BodyText"/>
        <w:spacing w:before="11"/>
        <w:rPr>
          <w:sz w:val="15"/>
        </w:rPr>
      </w:pPr>
    </w:p>
    <w:p>
      <w:pPr>
        <w:pStyle w:val="ListParagraph"/>
        <w:numPr>
          <w:ilvl w:val="3"/>
          <w:numId w:val="30"/>
        </w:numPr>
        <w:tabs>
          <w:tab w:pos="1360" w:val="left" w:leader="none"/>
        </w:tabs>
        <w:spacing w:line="240" w:lineRule="auto" w:before="92" w:after="0"/>
        <w:ind w:left="1360" w:right="1349" w:hanging="1080"/>
        <w:jc w:val="left"/>
        <w:rPr>
          <w:sz w:val="24"/>
        </w:rPr>
      </w:pPr>
      <w:r>
        <w:rPr>
          <w:sz w:val="24"/>
        </w:rPr>
        <w:t>Section 122.41(h) of 40 CFR, which applies to all NPDES permits,</w:t>
      </w:r>
      <w:r>
        <w:rPr>
          <w:spacing w:val="-46"/>
          <w:sz w:val="24"/>
        </w:rPr>
        <w:t> </w:t>
      </w:r>
      <w:r>
        <w:rPr>
          <w:sz w:val="24"/>
        </w:rPr>
        <w:t>requires that the permittee furnish to the permitting agency any information that it requests to determine compliance with the</w:t>
      </w:r>
      <w:r>
        <w:rPr>
          <w:spacing w:val="-3"/>
          <w:sz w:val="24"/>
        </w:rPr>
        <w:t> </w:t>
      </w:r>
      <w:r>
        <w:rPr>
          <w:sz w:val="24"/>
        </w:rPr>
        <w:t>permit.</w:t>
      </w:r>
    </w:p>
    <w:p>
      <w:pPr>
        <w:pStyle w:val="BodyText"/>
        <w:spacing w:before="10"/>
        <w:rPr>
          <w:sz w:val="20"/>
        </w:rPr>
      </w:pPr>
    </w:p>
    <w:p>
      <w:pPr>
        <w:pStyle w:val="Heading1"/>
        <w:numPr>
          <w:ilvl w:val="1"/>
          <w:numId w:val="30"/>
        </w:numPr>
        <w:tabs>
          <w:tab w:pos="871" w:val="left" w:leader="none"/>
        </w:tabs>
        <w:spacing w:line="240" w:lineRule="auto" w:before="0" w:after="0"/>
        <w:ind w:left="870" w:right="0" w:hanging="591"/>
        <w:jc w:val="left"/>
      </w:pPr>
      <w:r>
        <w:rPr/>
        <w:t>Provisions.</w:t>
      </w:r>
    </w:p>
    <w:p>
      <w:pPr>
        <w:pStyle w:val="BodyText"/>
        <w:spacing w:before="10"/>
        <w:rPr>
          <w:b/>
          <w:sz w:val="20"/>
        </w:rPr>
      </w:pPr>
    </w:p>
    <w:p>
      <w:pPr>
        <w:pStyle w:val="ListParagraph"/>
        <w:numPr>
          <w:ilvl w:val="2"/>
          <w:numId w:val="30"/>
        </w:numPr>
        <w:tabs>
          <w:tab w:pos="1101" w:val="left" w:leader="none"/>
        </w:tabs>
        <w:spacing w:line="240" w:lineRule="auto" w:before="0" w:after="0"/>
        <w:ind w:left="1100" w:right="0" w:hanging="821"/>
        <w:jc w:val="left"/>
        <w:rPr>
          <w:b/>
          <w:sz w:val="24"/>
        </w:rPr>
      </w:pPr>
      <w:r>
        <w:rPr>
          <w:b/>
          <w:sz w:val="24"/>
        </w:rPr>
        <w:t>Standard Provisions.</w:t>
      </w:r>
    </w:p>
    <w:p>
      <w:pPr>
        <w:pStyle w:val="BodyText"/>
        <w:rPr>
          <w:b/>
        </w:rPr>
      </w:pPr>
    </w:p>
    <w:p>
      <w:pPr>
        <w:pStyle w:val="BodyText"/>
        <w:ind w:left="1100" w:right="1041"/>
      </w:pPr>
      <w:r>
        <w:rPr/>
        <w:t>Standard provisions, which apply to all NPDES permits in accordance with 40 CFR section 122.41, and additional conditions applicable to specified categories of permits in accordance with 40 CFR section 122.42, are provided in Attachment D. Dischargers must comply with all standard provisions and with those additional conditions that are applicable under 40 CFR section 122.42.</w:t>
      </w:r>
    </w:p>
    <w:p>
      <w:pPr>
        <w:pStyle w:val="BodyText"/>
        <w:spacing w:before="10"/>
        <w:rPr>
          <w:sz w:val="20"/>
        </w:rPr>
      </w:pPr>
    </w:p>
    <w:p>
      <w:pPr>
        <w:pStyle w:val="Heading1"/>
        <w:numPr>
          <w:ilvl w:val="2"/>
          <w:numId w:val="30"/>
        </w:numPr>
        <w:tabs>
          <w:tab w:pos="1101" w:val="left" w:leader="none"/>
        </w:tabs>
        <w:spacing w:line="240" w:lineRule="auto" w:before="1" w:after="0"/>
        <w:ind w:left="1100" w:right="0" w:hanging="821"/>
        <w:jc w:val="left"/>
      </w:pPr>
      <w:r>
        <w:rPr/>
        <w:t>Enforcement.</w:t>
      </w:r>
    </w:p>
    <w:p>
      <w:pPr>
        <w:pStyle w:val="BodyText"/>
        <w:spacing w:before="11"/>
        <w:rPr>
          <w:b/>
          <w:sz w:val="23"/>
        </w:rPr>
      </w:pPr>
    </w:p>
    <w:p>
      <w:pPr>
        <w:pStyle w:val="BodyText"/>
        <w:ind w:left="1100" w:right="1095"/>
      </w:pPr>
      <w:r>
        <w:rPr/>
        <w:t>This provision is based on CWC section 13385, which requires the Los Angeles Water Board to assess mandatory minimum penalties for serious violations of permit requirements.</w:t>
      </w:r>
    </w:p>
    <w:p>
      <w:pPr>
        <w:pStyle w:val="BodyText"/>
        <w:spacing w:before="10"/>
        <w:rPr>
          <w:sz w:val="20"/>
        </w:rPr>
      </w:pPr>
    </w:p>
    <w:p>
      <w:pPr>
        <w:pStyle w:val="Heading1"/>
        <w:numPr>
          <w:ilvl w:val="2"/>
          <w:numId w:val="30"/>
        </w:numPr>
        <w:tabs>
          <w:tab w:pos="1101" w:val="left" w:leader="none"/>
        </w:tabs>
        <w:spacing w:line="240" w:lineRule="auto" w:before="0" w:after="0"/>
        <w:ind w:left="1100" w:right="0" w:hanging="821"/>
        <w:jc w:val="left"/>
      </w:pPr>
      <w:r>
        <w:rPr/>
        <w:t>Special Provisions.</w:t>
      </w:r>
    </w:p>
    <w:p>
      <w:pPr>
        <w:pStyle w:val="BodyText"/>
        <w:spacing w:before="10"/>
        <w:rPr>
          <w:b/>
          <w:sz w:val="20"/>
        </w:rPr>
      </w:pPr>
    </w:p>
    <w:p>
      <w:pPr>
        <w:pStyle w:val="ListParagraph"/>
        <w:numPr>
          <w:ilvl w:val="3"/>
          <w:numId w:val="30"/>
        </w:numPr>
        <w:tabs>
          <w:tab w:pos="1360" w:val="left" w:leader="none"/>
        </w:tabs>
        <w:spacing w:line="240" w:lineRule="auto" w:before="0" w:after="0"/>
        <w:ind w:left="1360" w:right="0" w:hanging="1080"/>
        <w:jc w:val="left"/>
        <w:rPr>
          <w:b/>
          <w:sz w:val="24"/>
        </w:rPr>
      </w:pPr>
      <w:r>
        <w:rPr>
          <w:b/>
          <w:sz w:val="24"/>
        </w:rPr>
        <w:t>Reopener</w:t>
      </w:r>
      <w:r>
        <w:rPr>
          <w:b/>
          <w:spacing w:val="-1"/>
          <w:sz w:val="24"/>
        </w:rPr>
        <w:t> </w:t>
      </w:r>
      <w:r>
        <w:rPr>
          <w:b/>
          <w:sz w:val="24"/>
        </w:rPr>
        <w:t>Provision.</w:t>
      </w:r>
    </w:p>
    <w:p>
      <w:pPr>
        <w:pStyle w:val="BodyText"/>
        <w:rPr>
          <w:b/>
        </w:rPr>
      </w:pPr>
    </w:p>
    <w:p>
      <w:pPr>
        <w:pStyle w:val="BodyText"/>
        <w:ind w:left="1360"/>
      </w:pPr>
      <w:r>
        <w:rPr/>
        <w:t>These provisions are based on 40 CFR sections 122.44, 122.62, 122.63,</w:t>
      </w:r>
    </w:p>
    <w:p>
      <w:pPr>
        <w:pStyle w:val="BodyText"/>
        <w:ind w:left="1359" w:right="1050"/>
      </w:pPr>
      <w:r>
        <w:rPr/>
        <w:t>122.64, 124.5, 125.62, and 125.64. The Los Angeles Water Board may reopen this General Permit to modify permit conditions and requirements, as well as revoke, reissue, or terminate in accordance with federal regulations. Causes for such actions include, but are not limited to, endangerment to human health or the environment; acquisition of newly obtained information that would have justified the application of different conditions if known at the time of Order adoption; to incorporate provisions as a result of new federal or State laws, regulations, plans, or policies (including TMDLs and other Basin Plan amendments); modification in toxicity requirements; violation of any term or condition in the Order; and/or minor modifications to correct typographical errors or require more frequent monitoring or reporting by the Dischargers.</w:t>
      </w:r>
    </w:p>
    <w:p>
      <w:pPr>
        <w:pStyle w:val="BodyText"/>
        <w:spacing w:before="9"/>
        <w:rPr>
          <w:sz w:val="20"/>
        </w:rPr>
      </w:pPr>
    </w:p>
    <w:p>
      <w:pPr>
        <w:pStyle w:val="Heading1"/>
        <w:numPr>
          <w:ilvl w:val="2"/>
          <w:numId w:val="35"/>
        </w:numPr>
        <w:tabs>
          <w:tab w:pos="1101" w:val="left" w:leader="none"/>
        </w:tabs>
        <w:spacing w:line="240" w:lineRule="auto" w:before="0" w:after="0"/>
        <w:ind w:left="1100" w:right="0" w:hanging="822"/>
        <w:jc w:val="left"/>
      </w:pPr>
      <w:r>
        <w:rPr/>
        <w:t>Electronic Signature and Certification</w:t>
      </w:r>
      <w:r>
        <w:rPr>
          <w:spacing w:val="-4"/>
        </w:rPr>
        <w:t> </w:t>
      </w:r>
      <w:r>
        <w:rPr/>
        <w:t>Requirements.</w:t>
      </w:r>
    </w:p>
    <w:p>
      <w:pPr>
        <w:pStyle w:val="BodyText"/>
        <w:rPr>
          <w:b/>
        </w:rPr>
      </w:pPr>
    </w:p>
    <w:p>
      <w:pPr>
        <w:pStyle w:val="BodyText"/>
        <w:ind w:left="1100" w:right="1923"/>
      </w:pPr>
      <w:r>
        <w:rPr/>
        <w:t>This provision is required to ensure compliance with electronic reporting requirements at 40 CFR part 127.</w:t>
      </w:r>
    </w:p>
    <w:p>
      <w:pPr>
        <w:pStyle w:val="BodyText"/>
        <w:spacing w:before="10"/>
        <w:rPr>
          <w:sz w:val="20"/>
        </w:rPr>
      </w:pPr>
    </w:p>
    <w:p>
      <w:pPr>
        <w:pStyle w:val="Heading1"/>
        <w:numPr>
          <w:ilvl w:val="2"/>
          <w:numId w:val="35"/>
        </w:numPr>
        <w:tabs>
          <w:tab w:pos="1101" w:val="left" w:leader="none"/>
        </w:tabs>
        <w:spacing w:line="240" w:lineRule="auto" w:before="0" w:after="0"/>
        <w:ind w:left="1100" w:right="0" w:hanging="822"/>
        <w:jc w:val="left"/>
      </w:pPr>
      <w:r>
        <w:rPr/>
        <w:t>Other Special Provisions.</w:t>
      </w:r>
    </w:p>
    <w:p>
      <w:pPr>
        <w:pStyle w:val="BodyText"/>
        <w:rPr>
          <w:b/>
        </w:rPr>
      </w:pPr>
    </w:p>
    <w:p>
      <w:pPr>
        <w:pStyle w:val="BodyText"/>
        <w:spacing w:before="1"/>
        <w:ind w:left="1100"/>
      </w:pPr>
      <w:r>
        <w:rPr/>
        <w:t>The other special provisions ensure that the Discharger will maintain coverage if</w:t>
      </w:r>
    </w:p>
    <w:p>
      <w:pPr>
        <w:spacing w:after="0"/>
        <w:sectPr>
          <w:pgSz w:w="12240" w:h="15840"/>
          <w:pgMar w:header="728" w:footer="788" w:top="1540" w:bottom="980" w:left="1160" w:right="420"/>
        </w:sectPr>
      </w:pPr>
    </w:p>
    <w:p>
      <w:pPr>
        <w:pStyle w:val="BodyText"/>
        <w:spacing w:before="11"/>
        <w:rPr>
          <w:sz w:val="15"/>
        </w:rPr>
      </w:pPr>
    </w:p>
    <w:p>
      <w:pPr>
        <w:pStyle w:val="BodyText"/>
        <w:spacing w:before="92"/>
        <w:ind w:left="1100" w:right="1108"/>
      </w:pPr>
      <w:r>
        <w:rPr/>
        <w:t>the General Permit has not been reissued by the expiration date of this General permit.</w:t>
      </w:r>
    </w:p>
    <w:p>
      <w:pPr>
        <w:pStyle w:val="BodyText"/>
        <w:spacing w:before="10"/>
        <w:rPr>
          <w:sz w:val="20"/>
        </w:rPr>
      </w:pPr>
    </w:p>
    <w:p>
      <w:pPr>
        <w:pStyle w:val="Heading1"/>
        <w:numPr>
          <w:ilvl w:val="1"/>
          <w:numId w:val="30"/>
        </w:numPr>
        <w:tabs>
          <w:tab w:pos="871" w:val="left" w:leader="none"/>
        </w:tabs>
        <w:spacing w:line="240" w:lineRule="auto" w:before="0" w:after="0"/>
        <w:ind w:left="870" w:right="0" w:hanging="591"/>
        <w:jc w:val="left"/>
      </w:pPr>
      <w:r>
        <w:rPr/>
        <w:t>Compliance</w:t>
      </w:r>
      <w:r>
        <w:rPr>
          <w:spacing w:val="-1"/>
        </w:rPr>
        <w:t> </w:t>
      </w:r>
      <w:r>
        <w:rPr/>
        <w:t>Determination.</w:t>
      </w:r>
    </w:p>
    <w:p>
      <w:pPr>
        <w:pStyle w:val="BodyText"/>
        <w:rPr>
          <w:b/>
        </w:rPr>
      </w:pPr>
    </w:p>
    <w:p>
      <w:pPr>
        <w:pStyle w:val="BodyText"/>
        <w:ind w:left="870" w:right="1085"/>
      </w:pPr>
      <w:r>
        <w:rPr/>
        <w:t>Compliance with water quality standards is and remains the ultimate goal of this General Permit. To that end, the Order requires compliance with the requirements of the compliance option selected by the Discharger and other general requirements applicable to all Dischargers covered under this General Permit.</w:t>
      </w:r>
    </w:p>
    <w:p>
      <w:pPr>
        <w:pStyle w:val="BodyText"/>
        <w:ind w:left="870" w:right="1286"/>
      </w:pPr>
      <w:r>
        <w:rPr/>
        <w:t>Pursuant to CWC section 13360, the State Water Board may not dictate the manner of compliance. Dischargers may comply with the discharge prohibitions, TBELs, and WQBELs in the Order in any lawful manner.</w:t>
      </w:r>
    </w:p>
    <w:p>
      <w:pPr>
        <w:pStyle w:val="BodyText"/>
        <w:spacing w:before="10"/>
        <w:rPr>
          <w:sz w:val="20"/>
        </w:rPr>
      </w:pPr>
    </w:p>
    <w:p>
      <w:pPr>
        <w:pStyle w:val="Heading1"/>
        <w:numPr>
          <w:ilvl w:val="0"/>
          <w:numId w:val="30"/>
        </w:numPr>
        <w:tabs>
          <w:tab w:pos="640" w:val="left" w:leader="none"/>
        </w:tabs>
        <w:spacing w:line="240" w:lineRule="auto" w:before="1" w:after="0"/>
        <w:ind w:left="639" w:right="0" w:hanging="360"/>
        <w:jc w:val="left"/>
      </w:pPr>
      <w:r>
        <w:rPr/>
        <w:t>PUBLIC</w:t>
      </w:r>
      <w:r>
        <w:rPr>
          <w:spacing w:val="-1"/>
        </w:rPr>
        <w:t> </w:t>
      </w:r>
      <w:r>
        <w:rPr/>
        <w:t>PARTICIPATION.</w:t>
      </w:r>
    </w:p>
    <w:p>
      <w:pPr>
        <w:pStyle w:val="BodyText"/>
        <w:spacing w:before="11"/>
        <w:rPr>
          <w:b/>
          <w:sz w:val="23"/>
        </w:rPr>
      </w:pPr>
    </w:p>
    <w:p>
      <w:pPr>
        <w:pStyle w:val="BodyText"/>
        <w:ind w:left="640" w:right="1129"/>
      </w:pPr>
      <w:r>
        <w:rPr/>
        <w:t>The Los Angeles Water Board has considered the issuance of WDRs that will serve as a general NPDES permit for stormwater discharges subject to USEPA’s residual designation within the Los Angeles Region. As a step in the permit issuance process, the Los Angeles Water Board staff has developed a tentative permit and has encouraged public participation in the permit development process.</w:t>
      </w:r>
    </w:p>
    <w:p>
      <w:pPr>
        <w:pStyle w:val="BodyText"/>
        <w:spacing w:before="10"/>
        <w:rPr>
          <w:sz w:val="20"/>
        </w:rPr>
      </w:pPr>
    </w:p>
    <w:p>
      <w:pPr>
        <w:pStyle w:val="Heading1"/>
        <w:numPr>
          <w:ilvl w:val="1"/>
          <w:numId w:val="30"/>
        </w:numPr>
        <w:tabs>
          <w:tab w:pos="871" w:val="left" w:leader="none"/>
        </w:tabs>
        <w:spacing w:line="240" w:lineRule="auto" w:before="0" w:after="0"/>
        <w:ind w:left="870" w:right="0" w:hanging="591"/>
        <w:jc w:val="left"/>
      </w:pPr>
      <w:r>
        <w:rPr/>
        <w:t>Notification of Interested</w:t>
      </w:r>
      <w:r>
        <w:rPr>
          <w:spacing w:val="-1"/>
        </w:rPr>
        <w:t> </w:t>
      </w:r>
      <w:r>
        <w:rPr/>
        <w:t>Parties.</w:t>
      </w:r>
    </w:p>
    <w:p>
      <w:pPr>
        <w:pStyle w:val="BodyText"/>
        <w:rPr>
          <w:b/>
        </w:rPr>
      </w:pPr>
    </w:p>
    <w:p>
      <w:pPr>
        <w:pStyle w:val="BodyText"/>
        <w:ind w:left="870" w:right="1271"/>
      </w:pPr>
      <w:r>
        <w:rPr/>
        <w:t>The Los Angeles Water Board notified the Dischargers and interested agencies and persons of its intent to prescribe WDRs for the discharge and provided an opportunity to submit written comments and recommendations. Notification was provided through posting on the Los Angeles Water Board’s Internet site on July 26, 2022, August 16, 2022, and November 22, 2022.</w:t>
      </w:r>
    </w:p>
    <w:p>
      <w:pPr>
        <w:pStyle w:val="BodyText"/>
        <w:spacing w:before="9"/>
        <w:rPr>
          <w:sz w:val="20"/>
        </w:rPr>
      </w:pPr>
    </w:p>
    <w:p>
      <w:pPr>
        <w:pStyle w:val="Heading1"/>
        <w:numPr>
          <w:ilvl w:val="1"/>
          <w:numId w:val="30"/>
        </w:numPr>
        <w:tabs>
          <w:tab w:pos="871" w:val="left" w:leader="none"/>
        </w:tabs>
        <w:spacing w:line="240" w:lineRule="auto" w:before="0" w:after="0"/>
        <w:ind w:left="870" w:right="0" w:hanging="591"/>
        <w:jc w:val="left"/>
      </w:pPr>
      <w:r>
        <w:rPr/>
        <w:t>Written</w:t>
      </w:r>
      <w:r>
        <w:rPr>
          <w:spacing w:val="-1"/>
        </w:rPr>
        <w:t> </w:t>
      </w:r>
      <w:r>
        <w:rPr/>
        <w:t>Comments.</w:t>
      </w:r>
    </w:p>
    <w:p>
      <w:pPr>
        <w:pStyle w:val="BodyText"/>
        <w:rPr>
          <w:b/>
        </w:rPr>
      </w:pPr>
    </w:p>
    <w:p>
      <w:pPr>
        <w:pStyle w:val="BodyText"/>
        <w:ind w:left="870" w:right="1005"/>
      </w:pPr>
      <w:r>
        <w:rPr/>
        <w:t>Parties and interested persons were invited to submit written comments and evidence concerning the tentative WDRs as provided through the notification process. Comments and evidence were due either in person, or by mail or email to the Executive Officer at the Los Angeles Water Board at:</w:t>
      </w:r>
    </w:p>
    <w:p>
      <w:pPr>
        <w:pStyle w:val="BodyText"/>
      </w:pPr>
    </w:p>
    <w:p>
      <w:pPr>
        <w:pStyle w:val="BodyText"/>
        <w:ind w:left="870" w:right="4367"/>
      </w:pPr>
      <w:r>
        <w:rPr/>
        <w:t>Los Angeles Regional Water Quality Control Board 320 W. 4th Street, Suite 200</w:t>
      </w:r>
    </w:p>
    <w:p>
      <w:pPr>
        <w:pStyle w:val="BodyText"/>
        <w:ind w:left="870"/>
      </w:pPr>
      <w:r>
        <w:rPr/>
        <w:t>Los Angeles, CA 90013-2343</w:t>
      </w:r>
    </w:p>
    <w:p>
      <w:pPr>
        <w:pStyle w:val="BodyText"/>
      </w:pPr>
    </w:p>
    <w:p>
      <w:pPr>
        <w:pStyle w:val="BodyText"/>
        <w:ind w:left="870" w:right="1058"/>
      </w:pPr>
      <w:r>
        <w:rPr/>
        <w:t>To be fully responded to by staff and considered by the Los Angeles Water Board, the written comments were due at the Los Angeles Water Board office by 5:00</w:t>
      </w:r>
    </w:p>
    <w:p>
      <w:pPr>
        <w:pStyle w:val="BodyText"/>
        <w:spacing w:before="1"/>
        <w:ind w:left="870"/>
      </w:pPr>
      <w:r>
        <w:rPr/>
        <w:t>p.m. on December 4, 2023.</w:t>
      </w:r>
    </w:p>
    <w:p>
      <w:pPr>
        <w:pStyle w:val="BodyText"/>
        <w:spacing w:before="9"/>
        <w:rPr>
          <w:sz w:val="20"/>
        </w:rPr>
      </w:pPr>
    </w:p>
    <w:p>
      <w:pPr>
        <w:pStyle w:val="Heading1"/>
        <w:numPr>
          <w:ilvl w:val="1"/>
          <w:numId w:val="30"/>
        </w:numPr>
        <w:tabs>
          <w:tab w:pos="871" w:val="left" w:leader="none"/>
        </w:tabs>
        <w:spacing w:line="240" w:lineRule="auto" w:before="1" w:after="0"/>
        <w:ind w:left="870" w:right="0" w:hanging="591"/>
        <w:jc w:val="left"/>
      </w:pPr>
      <w:r>
        <w:rPr/>
        <w:t>Public</w:t>
      </w:r>
      <w:r>
        <w:rPr>
          <w:spacing w:val="-1"/>
        </w:rPr>
        <w:t> </w:t>
      </w:r>
      <w:r>
        <w:rPr/>
        <w:t>Hearing.</w:t>
      </w:r>
    </w:p>
    <w:p>
      <w:pPr>
        <w:spacing w:after="0" w:line="240" w:lineRule="auto"/>
        <w:jc w:val="left"/>
        <w:sectPr>
          <w:pgSz w:w="12240" w:h="15840"/>
          <w:pgMar w:header="728" w:footer="788" w:top="1540" w:bottom="980" w:left="1160" w:right="420"/>
        </w:sectPr>
      </w:pPr>
    </w:p>
    <w:p>
      <w:pPr>
        <w:pStyle w:val="BodyText"/>
        <w:spacing w:before="11"/>
        <w:rPr>
          <w:b/>
          <w:sz w:val="15"/>
        </w:rPr>
      </w:pPr>
    </w:p>
    <w:p>
      <w:pPr>
        <w:pStyle w:val="BodyText"/>
        <w:spacing w:before="92"/>
        <w:ind w:left="870" w:right="1071"/>
      </w:pPr>
      <w:r>
        <w:rPr/>
        <w:t>The Los Angeles Water Board held a public hearing on the tentative WDRs during its regular Board meeting on the following date and time and at the following location:</w:t>
      </w:r>
    </w:p>
    <w:p>
      <w:pPr>
        <w:pStyle w:val="BodyText"/>
      </w:pPr>
    </w:p>
    <w:p>
      <w:pPr>
        <w:pStyle w:val="BodyText"/>
        <w:tabs>
          <w:tab w:pos="2439" w:val="left" w:leader="none"/>
        </w:tabs>
        <w:ind w:left="870"/>
      </w:pPr>
      <w:r>
        <w:rPr/>
        <w:t>Date:</w:t>
        <w:tab/>
        <w:t>February 22,</w:t>
      </w:r>
      <w:r>
        <w:rPr>
          <w:spacing w:val="-1"/>
        </w:rPr>
        <w:t> </w:t>
      </w:r>
      <w:r>
        <w:rPr/>
        <w:t>2024</w:t>
      </w:r>
    </w:p>
    <w:p>
      <w:pPr>
        <w:pStyle w:val="BodyText"/>
        <w:tabs>
          <w:tab w:pos="2440" w:val="left" w:leader="none"/>
        </w:tabs>
        <w:ind w:left="870"/>
      </w:pPr>
      <w:r>
        <w:rPr/>
        <w:t>Time:</w:t>
        <w:tab/>
        <w:t>9:00</w:t>
      </w:r>
      <w:r>
        <w:rPr>
          <w:spacing w:val="-1"/>
        </w:rPr>
        <w:t> </w:t>
      </w:r>
      <w:r>
        <w:rPr/>
        <w:t>AM</w:t>
      </w:r>
    </w:p>
    <w:p>
      <w:pPr>
        <w:pStyle w:val="BodyText"/>
        <w:tabs>
          <w:tab w:pos="2440" w:val="left" w:leader="none"/>
        </w:tabs>
        <w:ind w:left="870" w:right="2696"/>
      </w:pPr>
      <w:r>
        <w:rPr/>
        <w:t>Location:</w:t>
        <w:tab/>
        <w:t>320 West 4th Street, Los Angeles, California,</w:t>
      </w:r>
      <w:r>
        <w:rPr>
          <w:spacing w:val="-30"/>
        </w:rPr>
        <w:t> </w:t>
      </w:r>
      <w:r>
        <w:rPr/>
        <w:t>90013 Carmel</w:t>
      </w:r>
      <w:r>
        <w:rPr>
          <w:spacing w:val="-2"/>
        </w:rPr>
        <w:t> </w:t>
      </w:r>
      <w:r>
        <w:rPr/>
        <w:t>Room</w:t>
      </w:r>
    </w:p>
    <w:p>
      <w:pPr>
        <w:pStyle w:val="BodyText"/>
      </w:pPr>
    </w:p>
    <w:p>
      <w:pPr>
        <w:pStyle w:val="BodyText"/>
        <w:ind w:left="870" w:right="1273"/>
        <w:jc w:val="both"/>
      </w:pPr>
      <w:r>
        <w:rPr/>
        <w:t>Interested persons were invited to attend. At the public hearing, the Los Angeles Water Board heard testimony pertinent to the discharge, WDRs, and permit. For accuracy of the record, important testimony was requested in writing.</w:t>
      </w:r>
    </w:p>
    <w:p>
      <w:pPr>
        <w:pStyle w:val="BodyText"/>
        <w:spacing w:before="10"/>
        <w:rPr>
          <w:sz w:val="20"/>
        </w:rPr>
      </w:pPr>
    </w:p>
    <w:p>
      <w:pPr>
        <w:pStyle w:val="Heading1"/>
        <w:numPr>
          <w:ilvl w:val="1"/>
          <w:numId w:val="30"/>
        </w:numPr>
        <w:tabs>
          <w:tab w:pos="871" w:val="left" w:leader="none"/>
        </w:tabs>
        <w:spacing w:line="240" w:lineRule="auto" w:before="1" w:after="0"/>
        <w:ind w:left="870" w:right="0" w:hanging="592"/>
        <w:jc w:val="left"/>
      </w:pPr>
      <w:r>
        <w:rPr/>
        <w:t>Reconsideration of Waste Discharge</w:t>
      </w:r>
      <w:r>
        <w:rPr>
          <w:spacing w:val="-3"/>
        </w:rPr>
        <w:t> </w:t>
      </w:r>
      <w:r>
        <w:rPr/>
        <w:t>Requirements.</w:t>
      </w:r>
    </w:p>
    <w:p>
      <w:pPr>
        <w:pStyle w:val="BodyText"/>
        <w:spacing w:before="11"/>
        <w:rPr>
          <w:b/>
          <w:sz w:val="23"/>
        </w:rPr>
      </w:pPr>
    </w:p>
    <w:p>
      <w:pPr>
        <w:pStyle w:val="BodyText"/>
        <w:ind w:left="870" w:right="1028"/>
      </w:pPr>
      <w:r>
        <w:rPr/>
        <w:t>Any person aggrieved by this action of the Los Angeles Water Board may petition the State Water Board to review the action in accordance with CWC section</w:t>
      </w:r>
      <w:r>
        <w:rPr>
          <w:spacing w:val="-43"/>
        </w:rPr>
        <w:t> </w:t>
      </w:r>
      <w:r>
        <w:rPr/>
        <w:t>13320 and California Code of Regulations, title 23, sections 2050 and following. The State Water Board must receive the petition by 5:00 p.m., within 30 calendar days of the date of adoption of this Order at the following address, except that if the thirtieth day following the date of this Order falls on a Saturday, Sunday, or state holiday, the petition must be received by the State Water Board by 5:00 p.m. on the next business</w:t>
      </w:r>
      <w:r>
        <w:rPr>
          <w:spacing w:val="-1"/>
        </w:rPr>
        <w:t> </w:t>
      </w:r>
      <w:r>
        <w:rPr/>
        <w:t>day:</w:t>
      </w:r>
    </w:p>
    <w:p>
      <w:pPr>
        <w:pStyle w:val="BodyText"/>
        <w:spacing w:before="10"/>
        <w:rPr>
          <w:sz w:val="23"/>
        </w:rPr>
      </w:pPr>
    </w:p>
    <w:p>
      <w:pPr>
        <w:pStyle w:val="BodyText"/>
        <w:spacing w:before="1"/>
        <w:ind w:left="870" w:right="5741"/>
      </w:pPr>
      <w:r>
        <w:rPr/>
        <w:t>State Water Resources Control Board Office of Chief Counsel</w:t>
      </w:r>
    </w:p>
    <w:p>
      <w:pPr>
        <w:pStyle w:val="BodyText"/>
        <w:ind w:left="870" w:right="6661"/>
      </w:pPr>
      <w:r>
        <w:rPr/>
        <w:t>P.O. Box 100, 1001 I Street Sacramento, CA 95812-0100</w:t>
      </w:r>
    </w:p>
    <w:p>
      <w:pPr>
        <w:pStyle w:val="BodyText"/>
      </w:pPr>
    </w:p>
    <w:p>
      <w:pPr>
        <w:pStyle w:val="BodyText"/>
        <w:ind w:left="870"/>
        <w:jc w:val="both"/>
      </w:pPr>
      <w:r>
        <w:rPr/>
        <w:t>Or by email at </w:t>
      </w:r>
      <w:hyperlink r:id="rId68">
        <w:r>
          <w:rPr>
            <w:color w:val="0000FF"/>
            <w:u w:val="single" w:color="0000FF"/>
          </w:rPr>
          <w:t>waterqualitypetitions@waterboards.ca.gov</w:t>
        </w:r>
      </w:hyperlink>
    </w:p>
    <w:p>
      <w:pPr>
        <w:pStyle w:val="BodyText"/>
        <w:spacing w:before="11"/>
        <w:rPr>
          <w:sz w:val="15"/>
        </w:rPr>
      </w:pPr>
    </w:p>
    <w:p>
      <w:pPr>
        <w:pStyle w:val="BodyText"/>
        <w:spacing w:before="92"/>
        <w:ind w:left="870" w:right="1045"/>
      </w:pPr>
      <w:r>
        <w:rPr/>
        <w:t>For instructions on how to file a petition for review, see the </w:t>
      </w:r>
      <w:r>
        <w:rPr>
          <w:color w:val="0000FF"/>
          <w:u w:val="single" w:color="0000FF"/>
        </w:rPr>
        <w:t>Water Quality Petitions</w:t>
      </w:r>
      <w:r>
        <w:rPr>
          <w:color w:val="0000FF"/>
        </w:rPr>
        <w:t> </w:t>
      </w:r>
      <w:r>
        <w:rPr>
          <w:color w:val="0000FF"/>
          <w:u w:val="single" w:color="0000FF"/>
        </w:rPr>
        <w:t>Website</w:t>
      </w:r>
      <w:r>
        <w:rPr>
          <w:color w:val="0000FF"/>
        </w:rPr>
        <w:t> </w:t>
      </w:r>
      <w:hyperlink r:id="rId69">
        <w:r>
          <w:rPr/>
          <w:t>(http://www.waterboards.ca.gov/public_notices/petitions/water_quality/wqpetition_i</w:t>
        </w:r>
      </w:hyperlink>
      <w:r>
        <w:rPr/>
        <w:t> nstr.shtml)</w:t>
      </w:r>
    </w:p>
    <w:p>
      <w:pPr>
        <w:pStyle w:val="BodyText"/>
        <w:spacing w:before="10"/>
        <w:rPr>
          <w:sz w:val="20"/>
        </w:rPr>
      </w:pPr>
    </w:p>
    <w:p>
      <w:pPr>
        <w:pStyle w:val="Heading1"/>
        <w:numPr>
          <w:ilvl w:val="1"/>
          <w:numId w:val="30"/>
        </w:numPr>
        <w:tabs>
          <w:tab w:pos="871" w:val="left" w:leader="none"/>
        </w:tabs>
        <w:spacing w:line="240" w:lineRule="auto" w:before="0" w:after="0"/>
        <w:ind w:left="870" w:right="0" w:hanging="592"/>
        <w:jc w:val="left"/>
      </w:pPr>
      <w:r>
        <w:rPr/>
        <w:t>Information and</w:t>
      </w:r>
      <w:r>
        <w:rPr>
          <w:spacing w:val="-1"/>
        </w:rPr>
        <w:t> </w:t>
      </w:r>
      <w:r>
        <w:rPr/>
        <w:t>Copying.</w:t>
      </w:r>
    </w:p>
    <w:p>
      <w:pPr>
        <w:pStyle w:val="BodyText"/>
        <w:rPr>
          <w:b/>
        </w:rPr>
      </w:pPr>
    </w:p>
    <w:p>
      <w:pPr>
        <w:pStyle w:val="BodyText"/>
        <w:ind w:left="870" w:right="1051"/>
      </w:pPr>
      <w:r>
        <w:rPr/>
        <w:t>The NOI, other supporting documents, and comments received are on file and may be inspected at the address above at any time between 8:30 a.m. and 4:45 p.m.,</w:t>
      </w:r>
      <w:r>
        <w:rPr>
          <w:spacing w:val="-5"/>
        </w:rPr>
        <w:t> </w:t>
      </w:r>
      <w:r>
        <w:rPr/>
        <w:t>Monday</w:t>
      </w:r>
      <w:r>
        <w:rPr>
          <w:spacing w:val="-5"/>
        </w:rPr>
        <w:t> </w:t>
      </w:r>
      <w:r>
        <w:rPr/>
        <w:t>through</w:t>
      </w:r>
      <w:r>
        <w:rPr>
          <w:spacing w:val="-4"/>
        </w:rPr>
        <w:t> </w:t>
      </w:r>
      <w:r>
        <w:rPr/>
        <w:t>Friday.</w:t>
      </w:r>
      <w:r>
        <w:rPr>
          <w:spacing w:val="-5"/>
        </w:rPr>
        <w:t> </w:t>
      </w:r>
      <w:r>
        <w:rPr/>
        <w:t>Copying</w:t>
      </w:r>
      <w:r>
        <w:rPr>
          <w:spacing w:val="-6"/>
        </w:rPr>
        <w:t> </w:t>
      </w:r>
      <w:r>
        <w:rPr/>
        <w:t>of</w:t>
      </w:r>
      <w:r>
        <w:rPr>
          <w:spacing w:val="-4"/>
        </w:rPr>
        <w:t> </w:t>
      </w:r>
      <w:r>
        <w:rPr/>
        <w:t>documents</w:t>
      </w:r>
      <w:r>
        <w:rPr>
          <w:spacing w:val="-5"/>
        </w:rPr>
        <w:t> </w:t>
      </w:r>
      <w:r>
        <w:rPr/>
        <w:t>may</w:t>
      </w:r>
      <w:r>
        <w:rPr>
          <w:spacing w:val="-5"/>
        </w:rPr>
        <w:t> </w:t>
      </w:r>
      <w:r>
        <w:rPr/>
        <w:t>be</w:t>
      </w:r>
      <w:r>
        <w:rPr>
          <w:spacing w:val="-4"/>
        </w:rPr>
        <w:t> </w:t>
      </w:r>
      <w:r>
        <w:rPr/>
        <w:t>arranged</w:t>
      </w:r>
      <w:r>
        <w:rPr>
          <w:spacing w:val="-5"/>
        </w:rPr>
        <w:t> </w:t>
      </w:r>
      <w:r>
        <w:rPr/>
        <w:t>through</w:t>
      </w:r>
      <w:r>
        <w:rPr>
          <w:spacing w:val="-5"/>
        </w:rPr>
        <w:t> </w:t>
      </w:r>
      <w:r>
        <w:rPr/>
        <w:t>the Los Angeles Water Board by calling (213)</w:t>
      </w:r>
      <w:r>
        <w:rPr>
          <w:spacing w:val="-6"/>
        </w:rPr>
        <w:t> </w:t>
      </w:r>
      <w:r>
        <w:rPr/>
        <w:t>576-6600.</w:t>
      </w:r>
    </w:p>
    <w:p>
      <w:pPr>
        <w:pStyle w:val="BodyText"/>
        <w:spacing w:before="10"/>
        <w:rPr>
          <w:sz w:val="20"/>
        </w:rPr>
      </w:pPr>
    </w:p>
    <w:p>
      <w:pPr>
        <w:pStyle w:val="Heading1"/>
        <w:numPr>
          <w:ilvl w:val="1"/>
          <w:numId w:val="30"/>
        </w:numPr>
        <w:tabs>
          <w:tab w:pos="871" w:val="left" w:leader="none"/>
        </w:tabs>
        <w:spacing w:line="240" w:lineRule="auto" w:before="1" w:after="0"/>
        <w:ind w:left="870" w:right="0" w:hanging="591"/>
        <w:jc w:val="left"/>
      </w:pPr>
      <w:r>
        <w:rPr/>
        <w:t>Register of Interested</w:t>
      </w:r>
      <w:r>
        <w:rPr>
          <w:spacing w:val="-1"/>
        </w:rPr>
        <w:t> </w:t>
      </w:r>
      <w:r>
        <w:rPr/>
        <w:t>Persons.</w:t>
      </w:r>
    </w:p>
    <w:p>
      <w:pPr>
        <w:spacing w:after="0" w:line="240" w:lineRule="auto"/>
        <w:jc w:val="left"/>
        <w:sectPr>
          <w:pgSz w:w="12240" w:h="15840"/>
          <w:pgMar w:header="728" w:footer="788" w:top="1540" w:bottom="980" w:left="1160" w:right="420"/>
        </w:sectPr>
      </w:pPr>
    </w:p>
    <w:p>
      <w:pPr>
        <w:pStyle w:val="BodyText"/>
        <w:spacing w:before="11"/>
        <w:rPr>
          <w:b/>
          <w:sz w:val="15"/>
        </w:rPr>
      </w:pPr>
    </w:p>
    <w:p>
      <w:pPr>
        <w:pStyle w:val="BodyText"/>
        <w:spacing w:before="92"/>
        <w:ind w:left="870" w:right="1151"/>
      </w:pPr>
      <w:r>
        <w:rPr/>
        <w:t>Any person interested in being placed on the mailing list for information regarding the WDRs and NPDES permit should contact the Los Angeles Water Board, reference this facility, and provide a name and e-mail address.</w:t>
      </w:r>
    </w:p>
    <w:p>
      <w:pPr>
        <w:pStyle w:val="BodyText"/>
        <w:spacing w:before="10"/>
        <w:rPr>
          <w:sz w:val="20"/>
        </w:rPr>
      </w:pPr>
    </w:p>
    <w:p>
      <w:pPr>
        <w:pStyle w:val="Heading1"/>
        <w:numPr>
          <w:ilvl w:val="1"/>
          <w:numId w:val="30"/>
        </w:numPr>
        <w:tabs>
          <w:tab w:pos="871" w:val="left" w:leader="none"/>
        </w:tabs>
        <w:spacing w:line="240" w:lineRule="auto" w:before="0" w:after="0"/>
        <w:ind w:left="870" w:right="0" w:hanging="591"/>
        <w:jc w:val="left"/>
      </w:pPr>
      <w:r>
        <w:rPr/>
        <w:t>Additional</w:t>
      </w:r>
      <w:r>
        <w:rPr>
          <w:spacing w:val="-1"/>
        </w:rPr>
        <w:t> </w:t>
      </w:r>
      <w:r>
        <w:rPr/>
        <w:t>Information.</w:t>
      </w:r>
    </w:p>
    <w:p>
      <w:pPr>
        <w:pStyle w:val="BodyText"/>
        <w:rPr>
          <w:b/>
        </w:rPr>
      </w:pPr>
    </w:p>
    <w:p>
      <w:pPr>
        <w:pStyle w:val="BodyText"/>
        <w:ind w:left="870" w:right="1431"/>
      </w:pPr>
      <w:r>
        <w:rPr/>
        <w:t>Requests for additional information or questions regarding this order should be directed to Milasol Gaslan at </w:t>
      </w:r>
      <w:hyperlink r:id="rId70">
        <w:r>
          <w:rPr>
            <w:color w:val="0000FF"/>
            <w:u w:val="single" w:color="0000FF"/>
          </w:rPr>
          <w:t>milasol.gaslan@waterboards.ca.gov</w:t>
        </w:r>
        <w:r>
          <w:rPr/>
          <w:t>.</w:t>
        </w:r>
      </w:hyperlink>
    </w:p>
    <w:p>
      <w:pPr>
        <w:spacing w:after="0"/>
        <w:sectPr>
          <w:pgSz w:w="12240" w:h="15840"/>
          <w:pgMar w:header="728" w:footer="788" w:top="1540" w:bottom="980" w:left="1160" w:right="420"/>
        </w:sectPr>
      </w:pPr>
    </w:p>
    <w:p>
      <w:pPr>
        <w:pStyle w:val="BodyText"/>
        <w:spacing w:before="11"/>
        <w:rPr>
          <w:sz w:val="15"/>
        </w:rPr>
      </w:pPr>
    </w:p>
    <w:p>
      <w:pPr>
        <w:pStyle w:val="Heading1"/>
        <w:spacing w:before="92"/>
        <w:ind w:left="1420" w:right="1936"/>
        <w:jc w:val="center"/>
      </w:pPr>
      <w:r>
        <w:rPr/>
        <w:t>ATTACHMENT G — PERMIT REGISTRATION DOCUMENTS</w:t>
      </w:r>
    </w:p>
    <w:p>
      <w:pPr>
        <w:pStyle w:val="BodyText"/>
        <w:spacing w:before="10"/>
        <w:rPr>
          <w:b/>
          <w:sz w:val="20"/>
        </w:rPr>
      </w:pPr>
    </w:p>
    <w:p>
      <w:pPr>
        <w:pStyle w:val="BodyText"/>
        <w:ind w:left="280" w:right="1409"/>
      </w:pPr>
      <w:r>
        <w:rPr/>
        <w:t>This Attachment provides an example of the information Dischargers are required to submit in the Permit Registration Documents via the Stormwater Multiple Application and Report Tracking System (SMARTS). The requirements for the NOI and Permit Registration Documents are in section 3 of the Order.</w:t>
      </w:r>
    </w:p>
    <w:p>
      <w:pPr>
        <w:pStyle w:val="BodyText"/>
        <w:spacing w:before="10"/>
        <w:rPr>
          <w:sz w:val="20"/>
        </w:rPr>
      </w:pPr>
    </w:p>
    <w:p>
      <w:pPr>
        <w:pStyle w:val="Heading1"/>
        <w:numPr>
          <w:ilvl w:val="0"/>
          <w:numId w:val="36"/>
        </w:numPr>
        <w:tabs>
          <w:tab w:pos="640" w:val="left" w:leader="none"/>
        </w:tabs>
        <w:spacing w:line="240" w:lineRule="auto" w:before="0" w:after="0"/>
        <w:ind w:left="639" w:right="0" w:hanging="360"/>
        <w:jc w:val="left"/>
      </w:pPr>
      <w:r>
        <w:rPr/>
        <w:t>PERMIT REGISTRATION DOCUMENTS</w:t>
      </w:r>
      <w:r>
        <w:rPr>
          <w:spacing w:val="-2"/>
        </w:rPr>
        <w:t> </w:t>
      </w:r>
      <w:r>
        <w:rPr/>
        <w:t>REQUIREMENTS.</w:t>
      </w:r>
    </w:p>
    <w:p>
      <w:pPr>
        <w:pStyle w:val="BodyText"/>
        <w:spacing w:before="10"/>
        <w:rPr>
          <w:b/>
          <w:sz w:val="20"/>
        </w:rPr>
      </w:pPr>
    </w:p>
    <w:p>
      <w:pPr>
        <w:pStyle w:val="ListParagraph"/>
        <w:numPr>
          <w:ilvl w:val="1"/>
          <w:numId w:val="36"/>
        </w:numPr>
        <w:tabs>
          <w:tab w:pos="870" w:val="left" w:leader="none"/>
        </w:tabs>
        <w:spacing w:line="240" w:lineRule="auto" w:before="0" w:after="0"/>
        <w:ind w:left="869" w:right="0" w:hanging="590"/>
        <w:jc w:val="left"/>
        <w:rPr>
          <w:sz w:val="24"/>
        </w:rPr>
      </w:pPr>
      <w:r>
        <w:rPr>
          <w:sz w:val="24"/>
        </w:rPr>
        <w:t>NOI and Signed Electronic Authorization</w:t>
      </w:r>
      <w:r>
        <w:rPr>
          <w:spacing w:val="-2"/>
          <w:sz w:val="24"/>
        </w:rPr>
        <w:t> </w:t>
      </w:r>
      <w:r>
        <w:rPr>
          <w:sz w:val="24"/>
        </w:rPr>
        <w:t>Form.</w:t>
      </w:r>
    </w:p>
    <w:p>
      <w:pPr>
        <w:pStyle w:val="BodyText"/>
        <w:spacing w:before="10"/>
        <w:rPr>
          <w:sz w:val="20"/>
        </w:rPr>
      </w:pPr>
    </w:p>
    <w:p>
      <w:pPr>
        <w:pStyle w:val="ListParagraph"/>
        <w:numPr>
          <w:ilvl w:val="1"/>
          <w:numId w:val="36"/>
        </w:numPr>
        <w:tabs>
          <w:tab w:pos="870" w:val="left" w:leader="none"/>
        </w:tabs>
        <w:spacing w:line="240" w:lineRule="auto" w:before="0" w:after="0"/>
        <w:ind w:left="869" w:right="0" w:hanging="590"/>
        <w:jc w:val="left"/>
        <w:rPr>
          <w:sz w:val="24"/>
        </w:rPr>
      </w:pPr>
      <w:r>
        <w:rPr>
          <w:sz w:val="24"/>
        </w:rPr>
        <w:t>Site Map (section 6.1.3 of the</w:t>
      </w:r>
      <w:r>
        <w:rPr>
          <w:spacing w:val="-1"/>
          <w:sz w:val="24"/>
        </w:rPr>
        <w:t> </w:t>
      </w:r>
      <w:r>
        <w:rPr>
          <w:sz w:val="24"/>
        </w:rPr>
        <w:t>Order).</w:t>
      </w:r>
    </w:p>
    <w:p>
      <w:pPr>
        <w:pStyle w:val="BodyText"/>
        <w:spacing w:before="10"/>
        <w:rPr>
          <w:sz w:val="20"/>
        </w:rPr>
      </w:pPr>
    </w:p>
    <w:p>
      <w:pPr>
        <w:pStyle w:val="ListParagraph"/>
        <w:numPr>
          <w:ilvl w:val="1"/>
          <w:numId w:val="36"/>
        </w:numPr>
        <w:tabs>
          <w:tab w:pos="870" w:val="left" w:leader="none"/>
        </w:tabs>
        <w:spacing w:line="240" w:lineRule="auto" w:before="1" w:after="0"/>
        <w:ind w:left="869" w:right="0" w:hanging="590"/>
        <w:jc w:val="left"/>
        <w:rPr>
          <w:sz w:val="24"/>
        </w:rPr>
      </w:pPr>
      <w:r>
        <w:rPr>
          <w:sz w:val="24"/>
        </w:rPr>
        <w:t>Stormwater Pollution Prevention Plan (see section 6 of the</w:t>
      </w:r>
      <w:r>
        <w:rPr>
          <w:spacing w:val="-5"/>
          <w:sz w:val="24"/>
        </w:rPr>
        <w:t> </w:t>
      </w:r>
      <w:r>
        <w:rPr>
          <w:sz w:val="24"/>
        </w:rPr>
        <w:t>Order).</w:t>
      </w:r>
    </w:p>
    <w:p>
      <w:pPr>
        <w:pStyle w:val="BodyText"/>
        <w:spacing w:before="9"/>
        <w:rPr>
          <w:sz w:val="20"/>
        </w:rPr>
      </w:pPr>
    </w:p>
    <w:p>
      <w:pPr>
        <w:pStyle w:val="Heading1"/>
        <w:numPr>
          <w:ilvl w:val="0"/>
          <w:numId w:val="36"/>
        </w:numPr>
        <w:tabs>
          <w:tab w:pos="640" w:val="left" w:leader="none"/>
        </w:tabs>
        <w:spacing w:line="240" w:lineRule="auto" w:before="1" w:after="0"/>
        <w:ind w:left="639" w:right="0" w:hanging="360"/>
        <w:jc w:val="left"/>
      </w:pPr>
      <w:r>
        <w:rPr/>
        <w:t>DESCRIPTION OF PERMIT REGISTRATION</w:t>
      </w:r>
      <w:r>
        <w:rPr>
          <w:spacing w:val="-3"/>
        </w:rPr>
        <w:t> </w:t>
      </w:r>
      <w:r>
        <w:rPr/>
        <w:t>DOCUMENTS.</w:t>
      </w:r>
    </w:p>
    <w:p>
      <w:pPr>
        <w:pStyle w:val="BodyText"/>
        <w:spacing w:before="9"/>
        <w:rPr>
          <w:b/>
          <w:sz w:val="20"/>
        </w:rPr>
      </w:pPr>
    </w:p>
    <w:p>
      <w:pPr>
        <w:pStyle w:val="ListParagraph"/>
        <w:numPr>
          <w:ilvl w:val="1"/>
          <w:numId w:val="36"/>
        </w:numPr>
        <w:tabs>
          <w:tab w:pos="871" w:val="left" w:leader="none"/>
        </w:tabs>
        <w:spacing w:line="240" w:lineRule="auto" w:before="1" w:after="0"/>
        <w:ind w:left="870" w:right="0" w:hanging="591"/>
        <w:jc w:val="left"/>
        <w:rPr>
          <w:b/>
          <w:sz w:val="24"/>
        </w:rPr>
      </w:pPr>
      <w:r>
        <w:rPr>
          <w:b/>
          <w:sz w:val="24"/>
        </w:rPr>
        <w:t>Notice of</w:t>
      </w:r>
      <w:r>
        <w:rPr>
          <w:b/>
          <w:spacing w:val="-1"/>
          <w:sz w:val="24"/>
        </w:rPr>
        <w:t> </w:t>
      </w:r>
      <w:r>
        <w:rPr>
          <w:b/>
          <w:sz w:val="24"/>
        </w:rPr>
        <w:t>Intent.</w:t>
      </w:r>
    </w:p>
    <w:p>
      <w:pPr>
        <w:pStyle w:val="BodyText"/>
        <w:ind w:left="870"/>
      </w:pPr>
      <w:r>
        <w:rPr/>
        <w:t>The NOI requires the following information:</w:t>
      </w:r>
    </w:p>
    <w:p>
      <w:pPr>
        <w:pStyle w:val="BodyText"/>
        <w:spacing w:before="9"/>
        <w:rPr>
          <w:sz w:val="20"/>
        </w:rPr>
      </w:pPr>
    </w:p>
    <w:p>
      <w:pPr>
        <w:pStyle w:val="Heading1"/>
        <w:numPr>
          <w:ilvl w:val="2"/>
          <w:numId w:val="36"/>
        </w:numPr>
        <w:tabs>
          <w:tab w:pos="1100" w:val="left" w:leader="none"/>
          <w:tab w:pos="1101" w:val="left" w:leader="none"/>
        </w:tabs>
        <w:spacing w:line="240" w:lineRule="auto" w:before="1" w:after="0"/>
        <w:ind w:left="1100" w:right="0" w:hanging="821"/>
        <w:jc w:val="left"/>
      </w:pPr>
      <w:r>
        <w:rPr/>
        <w:t>Operator/Owner</w:t>
      </w:r>
      <w:r>
        <w:rPr>
          <w:spacing w:val="-2"/>
        </w:rPr>
        <w:t> </w:t>
      </w:r>
      <w:r>
        <w:rPr/>
        <w:t>Information.</w:t>
      </w:r>
    </w:p>
    <w:p>
      <w:pPr>
        <w:pStyle w:val="BodyText"/>
        <w:rPr>
          <w:b/>
        </w:rPr>
      </w:pPr>
    </w:p>
    <w:p>
      <w:pPr>
        <w:pStyle w:val="BodyText"/>
        <w:ind w:left="1100" w:right="4311"/>
      </w:pPr>
      <w:r>
        <w:rPr/>
        <w:t>Operator/Owner Company or Organization Name Contact First Name</w:t>
      </w:r>
    </w:p>
    <w:p>
      <w:pPr>
        <w:pStyle w:val="BodyText"/>
        <w:ind w:left="1100" w:right="7485"/>
      </w:pPr>
      <w:r>
        <w:rPr/>
        <w:t>Contact Last Name Title</w:t>
      </w:r>
    </w:p>
    <w:p>
      <w:pPr>
        <w:pStyle w:val="BodyText"/>
        <w:ind w:left="1100" w:right="7956"/>
        <w:jc w:val="both"/>
      </w:pPr>
      <w:r>
        <w:rPr/>
        <w:t>Street Address Address Line 2 City/State/Zip</w:t>
      </w:r>
    </w:p>
    <w:p>
      <w:pPr>
        <w:pStyle w:val="BodyText"/>
        <w:spacing w:line="275" w:lineRule="exact"/>
        <w:ind w:left="1100"/>
        <w:jc w:val="both"/>
      </w:pPr>
      <w:r>
        <w:rPr/>
        <w:t>Phone (e.g. 999-999-9999)</w:t>
      </w:r>
    </w:p>
    <w:p>
      <w:pPr>
        <w:pStyle w:val="BodyText"/>
        <w:ind w:left="1100" w:right="6675"/>
        <w:jc w:val="both"/>
      </w:pPr>
      <w:r>
        <w:rPr/>
        <w:t>E-mail (e.g. abc@xyz.com) Federal Tax ID</w:t>
      </w:r>
    </w:p>
    <w:p>
      <w:pPr>
        <w:pStyle w:val="BodyText"/>
        <w:spacing w:before="10"/>
        <w:rPr>
          <w:sz w:val="20"/>
        </w:rPr>
      </w:pPr>
    </w:p>
    <w:p>
      <w:pPr>
        <w:pStyle w:val="Heading1"/>
        <w:numPr>
          <w:ilvl w:val="2"/>
          <w:numId w:val="36"/>
        </w:numPr>
        <w:tabs>
          <w:tab w:pos="1100" w:val="left" w:leader="none"/>
          <w:tab w:pos="1101" w:val="left" w:leader="none"/>
        </w:tabs>
        <w:spacing w:line="240" w:lineRule="auto" w:before="0" w:after="0"/>
        <w:ind w:left="1100" w:right="0" w:hanging="821"/>
        <w:jc w:val="left"/>
      </w:pPr>
      <w:r>
        <w:rPr/>
        <w:t>Facility</w:t>
      </w:r>
      <w:r>
        <w:rPr>
          <w:spacing w:val="-2"/>
        </w:rPr>
        <w:t> </w:t>
      </w:r>
      <w:r>
        <w:rPr/>
        <w:t>Information.</w:t>
      </w:r>
    </w:p>
    <w:p>
      <w:pPr>
        <w:pStyle w:val="BodyText"/>
        <w:rPr>
          <w:b/>
        </w:rPr>
      </w:pPr>
    </w:p>
    <w:p>
      <w:pPr>
        <w:pStyle w:val="BodyText"/>
        <w:ind w:left="1100"/>
      </w:pPr>
      <w:r>
        <w:rPr/>
        <w:t>Facility Name</w:t>
      </w:r>
    </w:p>
    <w:p>
      <w:pPr>
        <w:pStyle w:val="BodyText"/>
        <w:ind w:left="1100" w:right="6485"/>
      </w:pPr>
      <w:r>
        <w:rPr/>
        <w:t>WDID Number (if applicable) Contact First Name</w:t>
      </w:r>
    </w:p>
    <w:p>
      <w:pPr>
        <w:pStyle w:val="BodyText"/>
        <w:ind w:left="1100" w:right="7497"/>
      </w:pPr>
      <w:r>
        <w:rPr/>
        <w:t>Contact Last</w:t>
      </w:r>
      <w:r>
        <w:rPr>
          <w:spacing w:val="-12"/>
        </w:rPr>
        <w:t> </w:t>
      </w:r>
      <w:r>
        <w:rPr/>
        <w:t>Name Title</w:t>
      </w:r>
    </w:p>
    <w:p>
      <w:pPr>
        <w:pStyle w:val="BodyText"/>
        <w:ind w:left="1100" w:right="7956"/>
        <w:jc w:val="both"/>
      </w:pPr>
      <w:r>
        <w:rPr/>
        <w:t>Street Address Address Line 2 City</w:t>
      </w:r>
    </w:p>
    <w:p>
      <w:pPr>
        <w:pStyle w:val="BodyText"/>
        <w:ind w:left="1100"/>
      </w:pPr>
      <w:r>
        <w:rPr/>
        <w:t>County</w:t>
      </w:r>
    </w:p>
    <w:p>
      <w:pPr>
        <w:pStyle w:val="BodyText"/>
        <w:ind w:left="1100"/>
      </w:pPr>
      <w:r>
        <w:rPr/>
        <w:t>Phone (e.g. 999-999-9999)</w:t>
      </w:r>
    </w:p>
    <w:p>
      <w:pPr>
        <w:pStyle w:val="BodyText"/>
        <w:ind w:left="1100"/>
      </w:pPr>
      <w:r>
        <w:rPr/>
        <w:t>Emergency Phone (e.g. 999-999-9999)</w:t>
      </w:r>
    </w:p>
    <w:p>
      <w:pPr>
        <w:spacing w:after="0"/>
        <w:sectPr>
          <w:headerReference w:type="default" r:id="rId71"/>
          <w:footerReference w:type="default" r:id="rId72"/>
          <w:pgSz w:w="12240" w:h="15840"/>
          <w:pgMar w:header="728" w:footer="788" w:top="1540" w:bottom="980" w:left="1160" w:right="420"/>
          <w:pgNumType w:start="1"/>
        </w:sectPr>
      </w:pPr>
    </w:p>
    <w:p>
      <w:pPr>
        <w:pStyle w:val="BodyText"/>
        <w:spacing w:before="11"/>
        <w:rPr>
          <w:sz w:val="15"/>
        </w:rPr>
      </w:pPr>
    </w:p>
    <w:p>
      <w:pPr>
        <w:pStyle w:val="BodyText"/>
        <w:spacing w:before="92"/>
        <w:ind w:left="1100" w:right="7122"/>
      </w:pPr>
      <w:r>
        <w:rPr/>
        <w:t>E-mail (abc@xyz.com) State/Zip CA</w:t>
      </w:r>
    </w:p>
    <w:p>
      <w:pPr>
        <w:pStyle w:val="BodyText"/>
        <w:ind w:left="1100"/>
      </w:pPr>
      <w:r>
        <w:rPr/>
        <w:t>Total Site Size (Acres)</w:t>
      </w:r>
    </w:p>
    <w:p>
      <w:pPr>
        <w:pStyle w:val="BodyText"/>
        <w:ind w:left="1100" w:right="1282"/>
      </w:pPr>
      <w:r>
        <w:rPr/>
        <w:t>Latitude (Decimal degrees only, minimum 5 significant digits, e.g. 99.99999) Longitude (Decimal degrees only, minimum 5 significant digits, e.g. 99.99999) Total Percentage Site Imperviousness Area of Facility (Acres)</w:t>
      </w:r>
    </w:p>
    <w:p>
      <w:pPr>
        <w:pStyle w:val="BodyText"/>
        <w:ind w:left="1100" w:right="1389"/>
      </w:pPr>
      <w:r>
        <w:rPr/>
        <w:t>Total Areas of Commercial and/or Industrial Activities and Materials Exposed to Precipitation</w:t>
      </w:r>
    </w:p>
    <w:p>
      <w:pPr>
        <w:pStyle w:val="BodyText"/>
        <w:ind w:left="1100" w:right="7285"/>
      </w:pPr>
      <w:r>
        <w:rPr/>
        <w:t>Primary SIC Code Secondary SIC Code Tertiary SIC Code</w:t>
      </w:r>
    </w:p>
    <w:p>
      <w:pPr>
        <w:pStyle w:val="BodyText"/>
        <w:ind w:left="1100" w:right="1456"/>
      </w:pPr>
      <w:r>
        <w:rPr/>
        <w:t>For Facilities in the Petroleum Refining Point Source Category (40 CFR Part 419), the date that construction of the facility began</w:t>
      </w:r>
    </w:p>
    <w:p>
      <w:pPr>
        <w:pStyle w:val="BodyText"/>
        <w:spacing w:before="1"/>
        <w:ind w:left="1100" w:right="1482"/>
      </w:pPr>
      <w:r>
        <w:rPr/>
        <w:t>For Facilities in the Paving and Roofing Materials (Tars and Asphalt) Point Source Category (40 CFR Part 443), the date that construction of the facility began</w:t>
      </w:r>
    </w:p>
    <w:p>
      <w:pPr>
        <w:pStyle w:val="BodyText"/>
        <w:spacing w:before="9"/>
        <w:rPr>
          <w:sz w:val="20"/>
        </w:rPr>
      </w:pPr>
    </w:p>
    <w:p>
      <w:pPr>
        <w:pStyle w:val="Heading1"/>
        <w:numPr>
          <w:ilvl w:val="2"/>
          <w:numId w:val="36"/>
        </w:numPr>
        <w:tabs>
          <w:tab w:pos="1100" w:val="left" w:leader="none"/>
          <w:tab w:pos="1101" w:val="left" w:leader="none"/>
        </w:tabs>
        <w:spacing w:line="240" w:lineRule="auto" w:before="1" w:after="0"/>
        <w:ind w:left="1100" w:right="0" w:hanging="821"/>
        <w:jc w:val="left"/>
      </w:pPr>
      <w:r>
        <w:rPr/>
        <w:t>Billing</w:t>
      </w:r>
      <w:r>
        <w:rPr>
          <w:spacing w:val="-2"/>
        </w:rPr>
        <w:t> </w:t>
      </w:r>
      <w:r>
        <w:rPr/>
        <w:t>Information.</w:t>
      </w:r>
    </w:p>
    <w:p>
      <w:pPr>
        <w:pStyle w:val="BodyText"/>
        <w:spacing w:before="11"/>
        <w:rPr>
          <w:b/>
          <w:sz w:val="23"/>
        </w:rPr>
      </w:pPr>
    </w:p>
    <w:p>
      <w:pPr>
        <w:pStyle w:val="BodyText"/>
        <w:ind w:left="1100" w:right="7472"/>
      </w:pPr>
      <w:r>
        <w:rPr/>
        <w:t>Billing Name Contact First Name Contact Last Name Title</w:t>
      </w:r>
    </w:p>
    <w:p>
      <w:pPr>
        <w:pStyle w:val="BodyText"/>
        <w:ind w:left="1100" w:right="7956"/>
        <w:jc w:val="both"/>
      </w:pPr>
      <w:r>
        <w:rPr/>
        <w:t>Street Address Address Line 2 City/State/Zip</w:t>
      </w:r>
    </w:p>
    <w:p>
      <w:pPr>
        <w:pStyle w:val="BodyText"/>
        <w:ind w:left="1100"/>
        <w:jc w:val="both"/>
      </w:pPr>
      <w:r>
        <w:rPr/>
        <w:t>Phone (e.g.</w:t>
      </w:r>
      <w:r>
        <w:rPr>
          <w:spacing w:val="-21"/>
        </w:rPr>
        <w:t> </w:t>
      </w:r>
      <w:r>
        <w:rPr/>
        <w:t>999-999-9999)</w:t>
      </w:r>
    </w:p>
    <w:p>
      <w:pPr>
        <w:pStyle w:val="BodyText"/>
        <w:ind w:left="1100"/>
        <w:jc w:val="both"/>
      </w:pPr>
      <w:r>
        <w:rPr/>
        <w:t>E-mail (e.g.</w:t>
      </w:r>
      <w:r>
        <w:rPr>
          <w:spacing w:val="-21"/>
        </w:rPr>
        <w:t> </w:t>
      </w:r>
      <w:r>
        <w:rPr/>
        <w:t>abc@xyz.com)</w:t>
      </w:r>
    </w:p>
    <w:p>
      <w:pPr>
        <w:pStyle w:val="BodyText"/>
        <w:spacing w:before="9"/>
        <w:rPr>
          <w:sz w:val="20"/>
        </w:rPr>
      </w:pPr>
    </w:p>
    <w:p>
      <w:pPr>
        <w:pStyle w:val="Heading1"/>
        <w:numPr>
          <w:ilvl w:val="2"/>
          <w:numId w:val="36"/>
        </w:numPr>
        <w:tabs>
          <w:tab w:pos="1100" w:val="left" w:leader="none"/>
          <w:tab w:pos="1101" w:val="left" w:leader="none"/>
        </w:tabs>
        <w:spacing w:line="240" w:lineRule="auto" w:before="0" w:after="0"/>
        <w:ind w:left="1100" w:right="0" w:hanging="821"/>
        <w:jc w:val="left"/>
      </w:pPr>
      <w:r>
        <w:rPr/>
        <w:t>Receiving Water</w:t>
      </w:r>
      <w:r>
        <w:rPr>
          <w:spacing w:val="-1"/>
        </w:rPr>
        <w:t> </w:t>
      </w:r>
      <w:r>
        <w:rPr/>
        <w:t>Information.</w:t>
      </w:r>
    </w:p>
    <w:p>
      <w:pPr>
        <w:pStyle w:val="BodyText"/>
        <w:rPr>
          <w:b/>
        </w:rPr>
      </w:pPr>
    </w:p>
    <w:p>
      <w:pPr>
        <w:pStyle w:val="BodyText"/>
        <w:ind w:left="1100" w:right="1384"/>
      </w:pPr>
      <w:r>
        <w:rPr/>
        <w:t>Does your facility's stormwater flow directly or indirectly into waters of the US such as river, lake, ocean, etc. (check box for directly or indirectly)</w:t>
      </w:r>
    </w:p>
    <w:p>
      <w:pPr>
        <w:pStyle w:val="BodyText"/>
        <w:spacing w:before="10"/>
        <w:rPr>
          <w:sz w:val="20"/>
        </w:rPr>
      </w:pPr>
    </w:p>
    <w:p>
      <w:pPr>
        <w:pStyle w:val="ListParagraph"/>
        <w:numPr>
          <w:ilvl w:val="3"/>
          <w:numId w:val="36"/>
        </w:numPr>
        <w:tabs>
          <w:tab w:pos="1359" w:val="left" w:leader="none"/>
          <w:tab w:pos="1360" w:val="left" w:leader="none"/>
        </w:tabs>
        <w:spacing w:line="240" w:lineRule="auto" w:before="0" w:after="0"/>
        <w:ind w:left="1359" w:right="0" w:hanging="1080"/>
        <w:jc w:val="left"/>
        <w:rPr>
          <w:sz w:val="24"/>
        </w:rPr>
      </w:pPr>
      <w:r>
        <w:rPr>
          <w:sz w:val="24"/>
          <w:u w:val="single"/>
        </w:rPr>
        <w:t>Indirectly to waters of the</w:t>
      </w:r>
      <w:r>
        <w:rPr>
          <w:spacing w:val="-9"/>
          <w:sz w:val="24"/>
          <w:u w:val="single"/>
        </w:rPr>
        <w:t> </w:t>
      </w:r>
      <w:r>
        <w:rPr>
          <w:sz w:val="24"/>
          <w:u w:val="single"/>
        </w:rPr>
        <w:t>US</w:t>
      </w:r>
      <w:r>
        <w:rPr>
          <w:sz w:val="24"/>
        </w:rPr>
        <w:t>:</w:t>
      </w:r>
    </w:p>
    <w:p>
      <w:pPr>
        <w:pStyle w:val="BodyText"/>
        <w:rPr>
          <w:sz w:val="16"/>
        </w:rPr>
      </w:pPr>
    </w:p>
    <w:p>
      <w:pPr>
        <w:pStyle w:val="BodyText"/>
        <w:spacing w:before="92"/>
        <w:ind w:left="1360"/>
      </w:pPr>
      <w:r>
        <w:rPr/>
        <w:t>Storm drain system - Enter owner's</w:t>
      </w:r>
      <w:r>
        <w:rPr>
          <w:spacing w:val="-17"/>
        </w:rPr>
        <w:t> </w:t>
      </w:r>
      <w:r>
        <w:rPr/>
        <w:t>name:</w:t>
      </w:r>
    </w:p>
    <w:p>
      <w:pPr>
        <w:pStyle w:val="BodyText"/>
        <w:spacing w:before="10"/>
        <w:rPr>
          <w:sz w:val="20"/>
        </w:rPr>
      </w:pPr>
    </w:p>
    <w:p>
      <w:pPr>
        <w:pStyle w:val="ListParagraph"/>
        <w:numPr>
          <w:ilvl w:val="3"/>
          <w:numId w:val="36"/>
        </w:numPr>
        <w:tabs>
          <w:tab w:pos="1359" w:val="left" w:leader="none"/>
          <w:tab w:pos="1360" w:val="left" w:leader="none"/>
        </w:tabs>
        <w:spacing w:line="240" w:lineRule="auto" w:before="0" w:after="0"/>
        <w:ind w:left="1359" w:right="0" w:hanging="1080"/>
        <w:jc w:val="left"/>
        <w:rPr>
          <w:sz w:val="24"/>
        </w:rPr>
      </w:pPr>
      <w:r>
        <w:rPr>
          <w:sz w:val="24"/>
          <w:u w:val="single"/>
        </w:rPr>
        <w:t>Directly to waters of the US (e.g., river, lake, creek, stream, bay, ocean,</w:t>
      </w:r>
      <w:r>
        <w:rPr>
          <w:spacing w:val="-22"/>
          <w:sz w:val="24"/>
          <w:u w:val="single"/>
        </w:rPr>
        <w:t> </w:t>
      </w:r>
      <w:r>
        <w:rPr>
          <w:sz w:val="24"/>
          <w:u w:val="single"/>
        </w:rPr>
        <w:t>etc.):</w:t>
      </w:r>
    </w:p>
    <w:p>
      <w:pPr>
        <w:pStyle w:val="BodyText"/>
        <w:rPr>
          <w:sz w:val="16"/>
        </w:rPr>
      </w:pPr>
    </w:p>
    <w:p>
      <w:pPr>
        <w:pStyle w:val="BodyText"/>
        <w:tabs>
          <w:tab w:pos="8217" w:val="left" w:leader="none"/>
        </w:tabs>
        <w:spacing w:before="92"/>
        <w:ind w:left="1360"/>
      </w:pPr>
      <w:r>
        <w:rPr/>
        <w:t>Name of the receiving</w:t>
      </w:r>
      <w:r>
        <w:rPr>
          <w:spacing w:val="-19"/>
        </w:rPr>
        <w:t> </w:t>
      </w:r>
      <w:r>
        <w:rPr/>
        <w:t>water:</w:t>
      </w:r>
      <w:r>
        <w:rPr>
          <w:spacing w:val="1"/>
        </w:rPr>
        <w:t> </w:t>
      </w:r>
      <w:r>
        <w:rPr>
          <w:u w:val="single"/>
        </w:rPr>
        <w:t> </w:t>
        <w:tab/>
      </w:r>
    </w:p>
    <w:p>
      <w:pPr>
        <w:spacing w:after="0"/>
        <w:sectPr>
          <w:pgSz w:w="12240" w:h="15840"/>
          <w:pgMar w:header="728" w:footer="788" w:top="1540" w:bottom="980" w:left="1160" w:right="420"/>
        </w:sectPr>
      </w:pPr>
    </w:p>
    <w:p>
      <w:pPr>
        <w:pStyle w:val="BodyText"/>
        <w:spacing w:before="11"/>
        <w:rPr>
          <w:sz w:val="15"/>
        </w:rPr>
      </w:pPr>
    </w:p>
    <w:p>
      <w:pPr>
        <w:pStyle w:val="Heading1"/>
        <w:numPr>
          <w:ilvl w:val="1"/>
          <w:numId w:val="36"/>
        </w:numPr>
        <w:tabs>
          <w:tab w:pos="871" w:val="left" w:leader="none"/>
        </w:tabs>
        <w:spacing w:line="240" w:lineRule="auto" w:before="92" w:after="0"/>
        <w:ind w:left="870" w:right="0" w:hanging="591"/>
        <w:jc w:val="left"/>
      </w:pPr>
      <w:r>
        <w:rPr/>
        <w:t>Site Map.</w:t>
      </w:r>
    </w:p>
    <w:p>
      <w:pPr>
        <w:pStyle w:val="BodyText"/>
        <w:rPr>
          <w:b/>
        </w:rPr>
      </w:pPr>
    </w:p>
    <w:p>
      <w:pPr>
        <w:pStyle w:val="BodyText"/>
        <w:ind w:left="870"/>
      </w:pPr>
      <w:r>
        <w:rPr/>
        <w:t>The Site Map(s) shall include the following Information:</w:t>
      </w:r>
    </w:p>
    <w:p>
      <w:pPr>
        <w:pStyle w:val="BodyText"/>
        <w:spacing w:before="10"/>
        <w:rPr>
          <w:sz w:val="20"/>
        </w:rPr>
      </w:pPr>
    </w:p>
    <w:p>
      <w:pPr>
        <w:pStyle w:val="ListParagraph"/>
        <w:numPr>
          <w:ilvl w:val="2"/>
          <w:numId w:val="36"/>
        </w:numPr>
        <w:tabs>
          <w:tab w:pos="1100" w:val="left" w:leader="none"/>
          <w:tab w:pos="1101" w:val="left" w:leader="none"/>
        </w:tabs>
        <w:spacing w:line="240" w:lineRule="auto" w:before="0" w:after="0"/>
        <w:ind w:left="1100" w:right="0" w:hanging="821"/>
        <w:jc w:val="left"/>
        <w:rPr>
          <w:sz w:val="24"/>
        </w:rPr>
      </w:pPr>
      <w:r>
        <w:rPr>
          <w:sz w:val="24"/>
        </w:rPr>
        <w:t>The facility</w:t>
      </w:r>
      <w:r>
        <w:rPr>
          <w:spacing w:val="-1"/>
          <w:sz w:val="24"/>
        </w:rPr>
        <w:t> </w:t>
      </w:r>
      <w:r>
        <w:rPr>
          <w:sz w:val="24"/>
        </w:rPr>
        <w:t>boundary;</w:t>
      </w:r>
    </w:p>
    <w:p>
      <w:pPr>
        <w:pStyle w:val="BodyText"/>
        <w:spacing w:before="10"/>
        <w:rPr>
          <w:sz w:val="20"/>
        </w:rPr>
      </w:pPr>
    </w:p>
    <w:p>
      <w:pPr>
        <w:pStyle w:val="ListParagraph"/>
        <w:numPr>
          <w:ilvl w:val="2"/>
          <w:numId w:val="36"/>
        </w:numPr>
        <w:tabs>
          <w:tab w:pos="1100" w:val="left" w:leader="none"/>
          <w:tab w:pos="1101" w:val="left" w:leader="none"/>
        </w:tabs>
        <w:spacing w:line="240" w:lineRule="auto" w:before="0" w:after="0"/>
        <w:ind w:left="1100" w:right="0" w:hanging="821"/>
        <w:jc w:val="left"/>
        <w:rPr>
          <w:sz w:val="24"/>
        </w:rPr>
      </w:pPr>
      <w:r>
        <w:rPr>
          <w:sz w:val="24"/>
        </w:rPr>
        <w:t>Stormwater drainage areas within the facility</w:t>
      </w:r>
      <w:r>
        <w:rPr>
          <w:spacing w:val="-4"/>
          <w:sz w:val="24"/>
        </w:rPr>
        <w:t> </w:t>
      </w:r>
      <w:r>
        <w:rPr>
          <w:sz w:val="24"/>
        </w:rPr>
        <w:t>boundary;</w:t>
      </w:r>
    </w:p>
    <w:p>
      <w:pPr>
        <w:pStyle w:val="BodyText"/>
        <w:spacing w:before="10"/>
        <w:rPr>
          <w:sz w:val="20"/>
        </w:rPr>
      </w:pPr>
    </w:p>
    <w:p>
      <w:pPr>
        <w:pStyle w:val="ListParagraph"/>
        <w:numPr>
          <w:ilvl w:val="2"/>
          <w:numId w:val="36"/>
        </w:numPr>
        <w:tabs>
          <w:tab w:pos="1100" w:val="left" w:leader="none"/>
          <w:tab w:pos="1101" w:val="left" w:leader="none"/>
        </w:tabs>
        <w:spacing w:line="240" w:lineRule="auto" w:before="0" w:after="0"/>
        <w:ind w:left="1100" w:right="1272" w:hanging="821"/>
        <w:jc w:val="left"/>
        <w:rPr>
          <w:sz w:val="24"/>
        </w:rPr>
      </w:pPr>
      <w:r>
        <w:rPr>
          <w:sz w:val="24"/>
        </w:rPr>
        <w:t>Portions of any drainage area impacted by discharges from surrounding areas and flow direction of each drainage</w:t>
      </w:r>
      <w:r>
        <w:rPr>
          <w:spacing w:val="-3"/>
          <w:sz w:val="24"/>
        </w:rPr>
        <w:t> </w:t>
      </w:r>
      <w:r>
        <w:rPr>
          <w:sz w:val="24"/>
        </w:rPr>
        <w:t>area;</w:t>
      </w:r>
    </w:p>
    <w:p>
      <w:pPr>
        <w:pStyle w:val="BodyText"/>
        <w:spacing w:before="10"/>
        <w:rPr>
          <w:sz w:val="20"/>
        </w:rPr>
      </w:pPr>
    </w:p>
    <w:p>
      <w:pPr>
        <w:pStyle w:val="ListParagraph"/>
        <w:numPr>
          <w:ilvl w:val="2"/>
          <w:numId w:val="36"/>
        </w:numPr>
        <w:tabs>
          <w:tab w:pos="1100" w:val="left" w:leader="none"/>
          <w:tab w:pos="1101" w:val="left" w:leader="none"/>
        </w:tabs>
        <w:spacing w:line="240" w:lineRule="auto" w:before="0" w:after="0"/>
        <w:ind w:left="1100" w:right="0" w:hanging="822"/>
        <w:jc w:val="left"/>
        <w:rPr>
          <w:sz w:val="24"/>
        </w:rPr>
      </w:pPr>
      <w:r>
        <w:rPr>
          <w:sz w:val="24"/>
        </w:rPr>
        <w:t>On-facility surface</w:t>
      </w:r>
      <w:r>
        <w:rPr>
          <w:spacing w:val="-1"/>
          <w:sz w:val="24"/>
        </w:rPr>
        <w:t> </w:t>
      </w:r>
      <w:r>
        <w:rPr>
          <w:sz w:val="24"/>
        </w:rPr>
        <w:t>waterbodies;</w:t>
      </w:r>
    </w:p>
    <w:p>
      <w:pPr>
        <w:pStyle w:val="BodyText"/>
        <w:spacing w:before="10"/>
        <w:rPr>
          <w:sz w:val="20"/>
        </w:rPr>
      </w:pPr>
    </w:p>
    <w:p>
      <w:pPr>
        <w:pStyle w:val="ListParagraph"/>
        <w:numPr>
          <w:ilvl w:val="2"/>
          <w:numId w:val="36"/>
        </w:numPr>
        <w:tabs>
          <w:tab w:pos="1100" w:val="left" w:leader="none"/>
          <w:tab w:pos="1101" w:val="left" w:leader="none"/>
        </w:tabs>
        <w:spacing w:line="240" w:lineRule="auto" w:before="1" w:after="0"/>
        <w:ind w:left="1100" w:right="0" w:hanging="822"/>
        <w:jc w:val="left"/>
        <w:rPr>
          <w:sz w:val="24"/>
        </w:rPr>
      </w:pPr>
      <w:r>
        <w:rPr>
          <w:sz w:val="24"/>
        </w:rPr>
        <w:t>Areas of soil</w:t>
      </w:r>
      <w:r>
        <w:rPr>
          <w:spacing w:val="-1"/>
          <w:sz w:val="24"/>
        </w:rPr>
        <w:t> </w:t>
      </w:r>
      <w:r>
        <w:rPr>
          <w:sz w:val="24"/>
        </w:rPr>
        <w:t>erosion;</w:t>
      </w:r>
    </w:p>
    <w:p>
      <w:pPr>
        <w:pStyle w:val="BodyText"/>
        <w:spacing w:before="9"/>
        <w:rPr>
          <w:sz w:val="20"/>
        </w:rPr>
      </w:pPr>
    </w:p>
    <w:p>
      <w:pPr>
        <w:pStyle w:val="ListParagraph"/>
        <w:numPr>
          <w:ilvl w:val="2"/>
          <w:numId w:val="36"/>
        </w:numPr>
        <w:tabs>
          <w:tab w:pos="1100" w:val="left" w:leader="none"/>
          <w:tab w:pos="1101" w:val="left" w:leader="none"/>
        </w:tabs>
        <w:spacing w:line="240" w:lineRule="auto" w:before="1" w:after="0"/>
        <w:ind w:left="1100" w:right="0" w:hanging="822"/>
        <w:jc w:val="left"/>
        <w:rPr>
          <w:sz w:val="24"/>
        </w:rPr>
      </w:pPr>
      <w:r>
        <w:rPr>
          <w:sz w:val="24"/>
        </w:rPr>
        <w:t>Location(s) of nearby waterbodies (such as rivers, lakes, wetlands,</w:t>
      </w:r>
      <w:r>
        <w:rPr>
          <w:spacing w:val="-16"/>
          <w:sz w:val="24"/>
        </w:rPr>
        <w:t> </w:t>
      </w:r>
      <w:r>
        <w:rPr>
          <w:sz w:val="24"/>
        </w:rPr>
        <w:t>etc.);</w:t>
      </w:r>
    </w:p>
    <w:p>
      <w:pPr>
        <w:pStyle w:val="BodyText"/>
        <w:spacing w:before="9"/>
        <w:rPr>
          <w:sz w:val="20"/>
        </w:rPr>
      </w:pPr>
    </w:p>
    <w:p>
      <w:pPr>
        <w:pStyle w:val="ListParagraph"/>
        <w:numPr>
          <w:ilvl w:val="2"/>
          <w:numId w:val="36"/>
        </w:numPr>
        <w:tabs>
          <w:tab w:pos="1100" w:val="left" w:leader="none"/>
          <w:tab w:pos="1101" w:val="left" w:leader="none"/>
        </w:tabs>
        <w:spacing w:line="240" w:lineRule="auto" w:before="1" w:after="0"/>
        <w:ind w:left="1100" w:right="1380" w:hanging="821"/>
        <w:jc w:val="left"/>
        <w:rPr>
          <w:sz w:val="24"/>
        </w:rPr>
      </w:pPr>
      <w:r>
        <w:rPr>
          <w:sz w:val="24"/>
        </w:rPr>
        <w:t>Location(s) of municipal storm drain inlets that may receive the facility’s industrial stormwater discharges and authorized Non-Stormwater Discharges (NSWDs);</w:t>
      </w:r>
    </w:p>
    <w:p>
      <w:pPr>
        <w:pStyle w:val="BodyText"/>
        <w:spacing w:before="10"/>
        <w:rPr>
          <w:sz w:val="20"/>
        </w:rPr>
      </w:pPr>
    </w:p>
    <w:p>
      <w:pPr>
        <w:pStyle w:val="ListParagraph"/>
        <w:numPr>
          <w:ilvl w:val="2"/>
          <w:numId w:val="36"/>
        </w:numPr>
        <w:tabs>
          <w:tab w:pos="1100" w:val="left" w:leader="none"/>
          <w:tab w:pos="1101" w:val="left" w:leader="none"/>
        </w:tabs>
        <w:spacing w:line="240" w:lineRule="auto" w:before="0" w:after="0"/>
        <w:ind w:left="1100" w:right="1504" w:hanging="821"/>
        <w:jc w:val="left"/>
        <w:rPr>
          <w:sz w:val="24"/>
        </w:rPr>
      </w:pPr>
      <w:r>
        <w:rPr>
          <w:sz w:val="24"/>
        </w:rPr>
        <w:t>Locations</w:t>
      </w:r>
      <w:r>
        <w:rPr>
          <w:spacing w:val="-7"/>
          <w:sz w:val="24"/>
        </w:rPr>
        <w:t> </w:t>
      </w:r>
      <w:r>
        <w:rPr>
          <w:sz w:val="24"/>
        </w:rPr>
        <w:t>of</w:t>
      </w:r>
      <w:r>
        <w:rPr>
          <w:spacing w:val="-6"/>
          <w:sz w:val="24"/>
        </w:rPr>
        <w:t> </w:t>
      </w:r>
      <w:r>
        <w:rPr>
          <w:sz w:val="24"/>
        </w:rPr>
        <w:t>stormwater</w:t>
      </w:r>
      <w:r>
        <w:rPr>
          <w:spacing w:val="-7"/>
          <w:sz w:val="24"/>
        </w:rPr>
        <w:t> </w:t>
      </w:r>
      <w:r>
        <w:rPr>
          <w:sz w:val="24"/>
        </w:rPr>
        <w:t>collection</w:t>
      </w:r>
      <w:r>
        <w:rPr>
          <w:spacing w:val="-6"/>
          <w:sz w:val="24"/>
        </w:rPr>
        <w:t> </w:t>
      </w:r>
      <w:r>
        <w:rPr>
          <w:sz w:val="24"/>
        </w:rPr>
        <w:t>and</w:t>
      </w:r>
      <w:r>
        <w:rPr>
          <w:spacing w:val="-7"/>
          <w:sz w:val="24"/>
        </w:rPr>
        <w:t> </w:t>
      </w:r>
      <w:r>
        <w:rPr>
          <w:sz w:val="24"/>
        </w:rPr>
        <w:t>conveyance</w:t>
      </w:r>
      <w:r>
        <w:rPr>
          <w:spacing w:val="-6"/>
          <w:sz w:val="24"/>
        </w:rPr>
        <w:t> </w:t>
      </w:r>
      <w:r>
        <w:rPr>
          <w:sz w:val="24"/>
        </w:rPr>
        <w:t>systems</w:t>
      </w:r>
      <w:r>
        <w:rPr>
          <w:spacing w:val="-7"/>
          <w:sz w:val="24"/>
        </w:rPr>
        <w:t> </w:t>
      </w:r>
      <w:r>
        <w:rPr>
          <w:sz w:val="24"/>
        </w:rPr>
        <w:t>and</w:t>
      </w:r>
      <w:r>
        <w:rPr>
          <w:spacing w:val="-6"/>
          <w:sz w:val="24"/>
        </w:rPr>
        <w:t> </w:t>
      </w:r>
      <w:r>
        <w:rPr>
          <w:sz w:val="24"/>
        </w:rPr>
        <w:t>associated points of discharge, and direction of</w:t>
      </w:r>
      <w:r>
        <w:rPr>
          <w:spacing w:val="-3"/>
          <w:sz w:val="24"/>
        </w:rPr>
        <w:t> </w:t>
      </w:r>
      <w:r>
        <w:rPr>
          <w:sz w:val="24"/>
        </w:rPr>
        <w:t>flow;</w:t>
      </w:r>
    </w:p>
    <w:p>
      <w:pPr>
        <w:pStyle w:val="BodyText"/>
        <w:spacing w:before="10"/>
        <w:rPr>
          <w:sz w:val="20"/>
        </w:rPr>
      </w:pPr>
    </w:p>
    <w:p>
      <w:pPr>
        <w:pStyle w:val="ListParagraph"/>
        <w:numPr>
          <w:ilvl w:val="2"/>
          <w:numId w:val="36"/>
        </w:numPr>
        <w:tabs>
          <w:tab w:pos="1100" w:val="left" w:leader="none"/>
          <w:tab w:pos="1101" w:val="left" w:leader="none"/>
        </w:tabs>
        <w:spacing w:line="240" w:lineRule="auto" w:before="0" w:after="0"/>
        <w:ind w:left="1100" w:right="1408" w:hanging="821"/>
        <w:jc w:val="left"/>
        <w:rPr>
          <w:sz w:val="24"/>
        </w:rPr>
      </w:pPr>
      <w:r>
        <w:rPr>
          <w:sz w:val="24"/>
        </w:rPr>
        <w:t>Any structural control measures (that affect industrial stormwater discharges, authorized NSWDs, and</w:t>
      </w:r>
      <w:r>
        <w:rPr>
          <w:spacing w:val="-1"/>
          <w:sz w:val="24"/>
        </w:rPr>
        <w:t> </w:t>
      </w:r>
      <w:r>
        <w:rPr>
          <w:sz w:val="24"/>
        </w:rPr>
        <w:t>run-on);</w:t>
      </w:r>
    </w:p>
    <w:p>
      <w:pPr>
        <w:pStyle w:val="BodyText"/>
        <w:spacing w:before="10"/>
        <w:rPr>
          <w:sz w:val="20"/>
        </w:rPr>
      </w:pPr>
    </w:p>
    <w:p>
      <w:pPr>
        <w:pStyle w:val="ListParagraph"/>
        <w:numPr>
          <w:ilvl w:val="2"/>
          <w:numId w:val="36"/>
        </w:numPr>
        <w:tabs>
          <w:tab w:pos="1100" w:val="left" w:leader="none"/>
        </w:tabs>
        <w:spacing w:line="240" w:lineRule="auto" w:before="0" w:after="0"/>
        <w:ind w:left="1100" w:right="1457" w:hanging="821"/>
        <w:jc w:val="left"/>
        <w:rPr>
          <w:sz w:val="24"/>
        </w:rPr>
      </w:pPr>
      <w:r>
        <w:rPr>
          <w:sz w:val="24"/>
        </w:rPr>
        <w:t>All impervious areas of the facility, including paved areas, buildings, covered storage areas, or other roofed</w:t>
      </w:r>
      <w:r>
        <w:rPr>
          <w:spacing w:val="-3"/>
          <w:sz w:val="24"/>
        </w:rPr>
        <w:t> </w:t>
      </w:r>
      <w:r>
        <w:rPr>
          <w:sz w:val="24"/>
        </w:rPr>
        <w:t>structures;</w:t>
      </w:r>
    </w:p>
    <w:p>
      <w:pPr>
        <w:pStyle w:val="BodyText"/>
        <w:spacing w:before="10"/>
        <w:rPr>
          <w:sz w:val="20"/>
        </w:rPr>
      </w:pPr>
    </w:p>
    <w:p>
      <w:pPr>
        <w:pStyle w:val="ListParagraph"/>
        <w:numPr>
          <w:ilvl w:val="2"/>
          <w:numId w:val="36"/>
        </w:numPr>
        <w:tabs>
          <w:tab w:pos="1100" w:val="left" w:leader="none"/>
        </w:tabs>
        <w:spacing w:line="240" w:lineRule="auto" w:before="0" w:after="0"/>
        <w:ind w:left="1099" w:right="0" w:hanging="821"/>
        <w:jc w:val="left"/>
        <w:rPr>
          <w:sz w:val="24"/>
        </w:rPr>
      </w:pPr>
      <w:r>
        <w:rPr>
          <w:sz w:val="24"/>
        </w:rPr>
        <w:t>Locations where materials are directly exposed to</w:t>
      </w:r>
      <w:r>
        <w:rPr>
          <w:spacing w:val="-5"/>
          <w:sz w:val="24"/>
        </w:rPr>
        <w:t> </w:t>
      </w:r>
      <w:r>
        <w:rPr>
          <w:sz w:val="24"/>
        </w:rPr>
        <w:t>precipitation;</w:t>
      </w:r>
    </w:p>
    <w:p>
      <w:pPr>
        <w:pStyle w:val="BodyText"/>
        <w:spacing w:before="10"/>
        <w:rPr>
          <w:sz w:val="20"/>
        </w:rPr>
      </w:pPr>
    </w:p>
    <w:p>
      <w:pPr>
        <w:pStyle w:val="ListParagraph"/>
        <w:numPr>
          <w:ilvl w:val="2"/>
          <w:numId w:val="36"/>
        </w:numPr>
        <w:tabs>
          <w:tab w:pos="1100" w:val="left" w:leader="none"/>
        </w:tabs>
        <w:spacing w:line="240" w:lineRule="auto" w:before="0" w:after="0"/>
        <w:ind w:left="1099" w:right="0" w:hanging="821"/>
        <w:jc w:val="left"/>
        <w:rPr>
          <w:sz w:val="24"/>
        </w:rPr>
      </w:pPr>
      <w:r>
        <w:rPr>
          <w:sz w:val="24"/>
        </w:rPr>
        <w:t>Locations where significant spills or leaks have</w:t>
      </w:r>
      <w:r>
        <w:rPr>
          <w:spacing w:val="-1"/>
          <w:sz w:val="24"/>
        </w:rPr>
        <w:t> </w:t>
      </w:r>
      <w:r>
        <w:rPr>
          <w:sz w:val="24"/>
        </w:rPr>
        <w:t>occurred;</w:t>
      </w:r>
    </w:p>
    <w:p>
      <w:pPr>
        <w:pStyle w:val="BodyText"/>
        <w:spacing w:before="10"/>
        <w:rPr>
          <w:sz w:val="20"/>
        </w:rPr>
      </w:pPr>
    </w:p>
    <w:p>
      <w:pPr>
        <w:pStyle w:val="ListParagraph"/>
        <w:numPr>
          <w:ilvl w:val="2"/>
          <w:numId w:val="36"/>
        </w:numPr>
        <w:tabs>
          <w:tab w:pos="1100" w:val="left" w:leader="none"/>
        </w:tabs>
        <w:spacing w:line="240" w:lineRule="auto" w:before="0" w:after="0"/>
        <w:ind w:left="1099" w:right="0" w:hanging="821"/>
        <w:jc w:val="left"/>
        <w:rPr>
          <w:sz w:val="24"/>
        </w:rPr>
      </w:pPr>
      <w:r>
        <w:rPr>
          <w:sz w:val="24"/>
        </w:rPr>
        <w:t>Areas of activity subject to this General</w:t>
      </w:r>
      <w:r>
        <w:rPr>
          <w:spacing w:val="-3"/>
          <w:sz w:val="24"/>
        </w:rPr>
        <w:t> </w:t>
      </w:r>
      <w:r>
        <w:rPr>
          <w:sz w:val="24"/>
        </w:rPr>
        <w:t>Permit;</w:t>
      </w:r>
    </w:p>
    <w:p>
      <w:pPr>
        <w:pStyle w:val="BodyText"/>
        <w:spacing w:before="9"/>
        <w:rPr>
          <w:sz w:val="20"/>
        </w:rPr>
      </w:pPr>
    </w:p>
    <w:p>
      <w:pPr>
        <w:pStyle w:val="ListParagraph"/>
        <w:numPr>
          <w:ilvl w:val="2"/>
          <w:numId w:val="36"/>
        </w:numPr>
        <w:tabs>
          <w:tab w:pos="1100" w:val="left" w:leader="none"/>
        </w:tabs>
        <w:spacing w:line="240" w:lineRule="auto" w:before="0" w:after="0"/>
        <w:ind w:left="1099" w:right="0" w:hanging="821"/>
        <w:jc w:val="left"/>
        <w:rPr>
          <w:sz w:val="24"/>
        </w:rPr>
      </w:pPr>
      <w:r>
        <w:rPr>
          <w:sz w:val="24"/>
        </w:rPr>
        <w:t>All storage areas and storage</w:t>
      </w:r>
      <w:r>
        <w:rPr>
          <w:spacing w:val="-1"/>
          <w:sz w:val="24"/>
        </w:rPr>
        <w:t> </w:t>
      </w:r>
      <w:r>
        <w:rPr>
          <w:sz w:val="24"/>
        </w:rPr>
        <w:t>tanks;</w:t>
      </w:r>
    </w:p>
    <w:p>
      <w:pPr>
        <w:pStyle w:val="BodyText"/>
        <w:spacing w:before="10"/>
        <w:rPr>
          <w:sz w:val="20"/>
        </w:rPr>
      </w:pPr>
    </w:p>
    <w:p>
      <w:pPr>
        <w:pStyle w:val="ListParagraph"/>
        <w:numPr>
          <w:ilvl w:val="2"/>
          <w:numId w:val="36"/>
        </w:numPr>
        <w:tabs>
          <w:tab w:pos="1100" w:val="left" w:leader="none"/>
        </w:tabs>
        <w:spacing w:line="240" w:lineRule="auto" w:before="0" w:after="0"/>
        <w:ind w:left="1099" w:right="0" w:hanging="821"/>
        <w:jc w:val="left"/>
        <w:rPr>
          <w:sz w:val="24"/>
        </w:rPr>
      </w:pPr>
      <w:r>
        <w:rPr>
          <w:sz w:val="24"/>
        </w:rPr>
        <w:t>Shipping and receiving</w:t>
      </w:r>
      <w:r>
        <w:rPr>
          <w:spacing w:val="-1"/>
          <w:sz w:val="24"/>
        </w:rPr>
        <w:t> </w:t>
      </w:r>
      <w:r>
        <w:rPr>
          <w:sz w:val="24"/>
        </w:rPr>
        <w:t>areas;</w:t>
      </w:r>
    </w:p>
    <w:p>
      <w:pPr>
        <w:pStyle w:val="BodyText"/>
        <w:spacing w:before="10"/>
        <w:rPr>
          <w:sz w:val="20"/>
        </w:rPr>
      </w:pPr>
    </w:p>
    <w:p>
      <w:pPr>
        <w:pStyle w:val="ListParagraph"/>
        <w:numPr>
          <w:ilvl w:val="2"/>
          <w:numId w:val="36"/>
        </w:numPr>
        <w:tabs>
          <w:tab w:pos="1101" w:val="left" w:leader="none"/>
        </w:tabs>
        <w:spacing w:line="240" w:lineRule="auto" w:before="0" w:after="0"/>
        <w:ind w:left="1100" w:right="0" w:hanging="822"/>
        <w:jc w:val="left"/>
        <w:rPr>
          <w:sz w:val="24"/>
        </w:rPr>
      </w:pPr>
      <w:r>
        <w:rPr>
          <w:sz w:val="24"/>
        </w:rPr>
        <w:t>Fueling</w:t>
      </w:r>
      <w:r>
        <w:rPr>
          <w:spacing w:val="-1"/>
          <w:sz w:val="24"/>
        </w:rPr>
        <w:t> </w:t>
      </w:r>
      <w:r>
        <w:rPr>
          <w:sz w:val="24"/>
        </w:rPr>
        <w:t>areas;</w:t>
      </w:r>
    </w:p>
    <w:p>
      <w:pPr>
        <w:pStyle w:val="BodyText"/>
        <w:spacing w:before="10"/>
        <w:rPr>
          <w:sz w:val="20"/>
        </w:rPr>
      </w:pPr>
    </w:p>
    <w:p>
      <w:pPr>
        <w:pStyle w:val="ListParagraph"/>
        <w:numPr>
          <w:ilvl w:val="2"/>
          <w:numId w:val="36"/>
        </w:numPr>
        <w:tabs>
          <w:tab w:pos="1100" w:val="left" w:leader="none"/>
        </w:tabs>
        <w:spacing w:line="240" w:lineRule="auto" w:before="0" w:after="0"/>
        <w:ind w:left="1099" w:right="0" w:hanging="821"/>
        <w:jc w:val="left"/>
        <w:rPr>
          <w:sz w:val="24"/>
        </w:rPr>
      </w:pPr>
      <w:r>
        <w:rPr>
          <w:sz w:val="24"/>
        </w:rPr>
        <w:t>Vehicle and equipment storage/maintenance</w:t>
      </w:r>
      <w:r>
        <w:rPr>
          <w:spacing w:val="-2"/>
          <w:sz w:val="24"/>
        </w:rPr>
        <w:t> </w:t>
      </w:r>
      <w:r>
        <w:rPr>
          <w:sz w:val="24"/>
        </w:rPr>
        <w:t>areas;</w:t>
      </w:r>
    </w:p>
    <w:p>
      <w:pPr>
        <w:pStyle w:val="BodyText"/>
        <w:spacing w:before="10"/>
        <w:rPr>
          <w:sz w:val="20"/>
        </w:rPr>
      </w:pPr>
    </w:p>
    <w:p>
      <w:pPr>
        <w:pStyle w:val="ListParagraph"/>
        <w:numPr>
          <w:ilvl w:val="2"/>
          <w:numId w:val="36"/>
        </w:numPr>
        <w:tabs>
          <w:tab w:pos="1099" w:val="left" w:leader="none"/>
        </w:tabs>
        <w:spacing w:line="240" w:lineRule="auto" w:before="0" w:after="0"/>
        <w:ind w:left="1098" w:right="0" w:hanging="820"/>
        <w:jc w:val="left"/>
        <w:rPr>
          <w:sz w:val="24"/>
        </w:rPr>
      </w:pPr>
      <w:r>
        <w:rPr>
          <w:sz w:val="24"/>
        </w:rPr>
        <w:t>Vehicle washing areas;</w:t>
      </w:r>
    </w:p>
    <w:p>
      <w:pPr>
        <w:pStyle w:val="BodyText"/>
        <w:spacing w:before="10"/>
        <w:rPr>
          <w:sz w:val="20"/>
        </w:rPr>
      </w:pPr>
    </w:p>
    <w:p>
      <w:pPr>
        <w:pStyle w:val="ListParagraph"/>
        <w:numPr>
          <w:ilvl w:val="2"/>
          <w:numId w:val="36"/>
        </w:numPr>
        <w:tabs>
          <w:tab w:pos="1100" w:val="left" w:leader="none"/>
        </w:tabs>
        <w:spacing w:line="240" w:lineRule="auto" w:before="0" w:after="0"/>
        <w:ind w:left="1099" w:right="0" w:hanging="821"/>
        <w:jc w:val="left"/>
        <w:rPr>
          <w:sz w:val="24"/>
        </w:rPr>
      </w:pPr>
      <w:r>
        <w:rPr>
          <w:sz w:val="24"/>
        </w:rPr>
        <w:t>Material handling and processing</w:t>
      </w:r>
      <w:r>
        <w:rPr>
          <w:spacing w:val="1"/>
          <w:sz w:val="24"/>
        </w:rPr>
        <w:t> </w:t>
      </w:r>
      <w:r>
        <w:rPr>
          <w:sz w:val="24"/>
        </w:rPr>
        <w:t>areas;</w:t>
      </w:r>
    </w:p>
    <w:p>
      <w:pPr>
        <w:spacing w:after="0" w:line="240" w:lineRule="auto"/>
        <w:jc w:val="left"/>
        <w:rPr>
          <w:sz w:val="24"/>
        </w:rPr>
        <w:sectPr>
          <w:pgSz w:w="12240" w:h="15840"/>
          <w:pgMar w:header="728" w:footer="788" w:top="1540" w:bottom="980" w:left="1160" w:right="420"/>
        </w:sectPr>
      </w:pPr>
    </w:p>
    <w:p>
      <w:pPr>
        <w:pStyle w:val="BodyText"/>
        <w:spacing w:before="11"/>
        <w:rPr>
          <w:sz w:val="15"/>
        </w:rPr>
      </w:pPr>
    </w:p>
    <w:p>
      <w:pPr>
        <w:pStyle w:val="ListParagraph"/>
        <w:numPr>
          <w:ilvl w:val="2"/>
          <w:numId w:val="36"/>
        </w:numPr>
        <w:tabs>
          <w:tab w:pos="1100" w:val="left" w:leader="none"/>
        </w:tabs>
        <w:spacing w:line="240" w:lineRule="auto" w:before="92" w:after="0"/>
        <w:ind w:left="1099" w:right="0" w:hanging="820"/>
        <w:jc w:val="left"/>
        <w:rPr>
          <w:sz w:val="24"/>
        </w:rPr>
      </w:pPr>
      <w:r>
        <w:rPr>
          <w:sz w:val="24"/>
        </w:rPr>
        <w:t>Waste treatment and disposal</w:t>
      </w:r>
      <w:r>
        <w:rPr>
          <w:spacing w:val="-1"/>
          <w:sz w:val="24"/>
        </w:rPr>
        <w:t> </w:t>
      </w:r>
      <w:r>
        <w:rPr>
          <w:sz w:val="24"/>
        </w:rPr>
        <w:t>areas;</w:t>
      </w:r>
    </w:p>
    <w:p>
      <w:pPr>
        <w:pStyle w:val="BodyText"/>
        <w:spacing w:before="10"/>
        <w:rPr>
          <w:sz w:val="20"/>
        </w:rPr>
      </w:pPr>
    </w:p>
    <w:p>
      <w:pPr>
        <w:pStyle w:val="ListParagraph"/>
        <w:numPr>
          <w:ilvl w:val="2"/>
          <w:numId w:val="36"/>
        </w:numPr>
        <w:tabs>
          <w:tab w:pos="1100" w:val="left" w:leader="none"/>
        </w:tabs>
        <w:spacing w:line="240" w:lineRule="auto" w:before="0" w:after="0"/>
        <w:ind w:left="1099" w:right="0" w:hanging="820"/>
        <w:jc w:val="left"/>
        <w:rPr>
          <w:sz w:val="24"/>
        </w:rPr>
      </w:pPr>
      <w:r>
        <w:rPr>
          <w:sz w:val="24"/>
        </w:rPr>
        <w:t>Dust or particulate generating</w:t>
      </w:r>
      <w:r>
        <w:rPr>
          <w:spacing w:val="-2"/>
          <w:sz w:val="24"/>
        </w:rPr>
        <w:t> </w:t>
      </w:r>
      <w:r>
        <w:rPr>
          <w:sz w:val="24"/>
        </w:rPr>
        <w:t>areas;</w:t>
      </w:r>
    </w:p>
    <w:p>
      <w:pPr>
        <w:pStyle w:val="BodyText"/>
        <w:spacing w:before="10"/>
        <w:rPr>
          <w:sz w:val="20"/>
        </w:rPr>
      </w:pPr>
    </w:p>
    <w:p>
      <w:pPr>
        <w:pStyle w:val="ListParagraph"/>
        <w:numPr>
          <w:ilvl w:val="2"/>
          <w:numId w:val="36"/>
        </w:numPr>
        <w:tabs>
          <w:tab w:pos="1100" w:val="left" w:leader="none"/>
        </w:tabs>
        <w:spacing w:line="240" w:lineRule="auto" w:before="0" w:after="0"/>
        <w:ind w:left="1099" w:right="0" w:hanging="820"/>
        <w:jc w:val="left"/>
        <w:rPr>
          <w:sz w:val="24"/>
        </w:rPr>
      </w:pPr>
      <w:r>
        <w:rPr>
          <w:sz w:val="24"/>
        </w:rPr>
        <w:t>Cleaning and material reuse areas;</w:t>
      </w:r>
      <w:r>
        <w:rPr>
          <w:spacing w:val="-2"/>
          <w:sz w:val="24"/>
        </w:rPr>
        <w:t> </w:t>
      </w:r>
      <w:r>
        <w:rPr>
          <w:sz w:val="24"/>
        </w:rPr>
        <w:t>and,</w:t>
      </w:r>
    </w:p>
    <w:p>
      <w:pPr>
        <w:pStyle w:val="BodyText"/>
        <w:spacing w:before="10"/>
        <w:rPr>
          <w:sz w:val="20"/>
        </w:rPr>
      </w:pPr>
    </w:p>
    <w:p>
      <w:pPr>
        <w:pStyle w:val="ListParagraph"/>
        <w:numPr>
          <w:ilvl w:val="2"/>
          <w:numId w:val="36"/>
        </w:numPr>
        <w:tabs>
          <w:tab w:pos="1101" w:val="left" w:leader="none"/>
        </w:tabs>
        <w:spacing w:line="240" w:lineRule="auto" w:before="0" w:after="0"/>
        <w:ind w:left="1100" w:right="1193" w:hanging="821"/>
        <w:jc w:val="left"/>
        <w:rPr>
          <w:sz w:val="24"/>
        </w:rPr>
      </w:pPr>
      <w:r>
        <w:rPr>
          <w:sz w:val="24"/>
        </w:rPr>
        <w:t>Any other areas of commercial, institutional and/or industrial activity which may have potential pollutant</w:t>
      </w:r>
      <w:r>
        <w:rPr>
          <w:spacing w:val="-2"/>
          <w:sz w:val="24"/>
        </w:rPr>
        <w:t> </w:t>
      </w:r>
      <w:r>
        <w:rPr>
          <w:sz w:val="24"/>
        </w:rPr>
        <w:t>sources.</w:t>
      </w:r>
    </w:p>
    <w:p>
      <w:pPr>
        <w:pStyle w:val="BodyText"/>
        <w:spacing w:before="10"/>
        <w:rPr>
          <w:sz w:val="20"/>
        </w:rPr>
      </w:pPr>
    </w:p>
    <w:p>
      <w:pPr>
        <w:pStyle w:val="Heading1"/>
        <w:numPr>
          <w:ilvl w:val="1"/>
          <w:numId w:val="36"/>
        </w:numPr>
        <w:tabs>
          <w:tab w:pos="871" w:val="left" w:leader="none"/>
        </w:tabs>
        <w:spacing w:line="240" w:lineRule="auto" w:before="0" w:after="0"/>
        <w:ind w:left="870" w:right="0" w:hanging="591"/>
        <w:jc w:val="left"/>
      </w:pPr>
      <w:r>
        <w:rPr/>
        <w:t>Stormwater Pollution Prevention</w:t>
      </w:r>
      <w:r>
        <w:rPr>
          <w:spacing w:val="-2"/>
        </w:rPr>
        <w:t> </w:t>
      </w:r>
      <w:r>
        <w:rPr/>
        <w:t>Plan.</w:t>
      </w:r>
    </w:p>
    <w:p>
      <w:pPr>
        <w:pStyle w:val="BodyText"/>
        <w:spacing w:before="10"/>
        <w:rPr>
          <w:b/>
          <w:sz w:val="20"/>
        </w:rPr>
      </w:pPr>
    </w:p>
    <w:p>
      <w:pPr>
        <w:pStyle w:val="ListParagraph"/>
        <w:numPr>
          <w:ilvl w:val="2"/>
          <w:numId w:val="36"/>
        </w:numPr>
        <w:tabs>
          <w:tab w:pos="1100" w:val="left" w:leader="none"/>
          <w:tab w:pos="1101" w:val="left" w:leader="none"/>
        </w:tabs>
        <w:spacing w:line="240" w:lineRule="auto" w:before="0" w:after="0"/>
        <w:ind w:left="1100" w:right="1101" w:hanging="821"/>
        <w:jc w:val="left"/>
        <w:rPr>
          <w:sz w:val="24"/>
        </w:rPr>
      </w:pPr>
      <w:r>
        <w:rPr>
          <w:sz w:val="24"/>
        </w:rPr>
        <w:t>The Stormwater Pollution Prevention Plan must be prepared in accordance</w:t>
      </w:r>
      <w:r>
        <w:rPr>
          <w:spacing w:val="-47"/>
          <w:sz w:val="24"/>
        </w:rPr>
        <w:t> </w:t>
      </w:r>
      <w:r>
        <w:rPr>
          <w:sz w:val="24"/>
        </w:rPr>
        <w:t>with section 6 of the</w:t>
      </w:r>
      <w:r>
        <w:rPr>
          <w:spacing w:val="-1"/>
          <w:sz w:val="24"/>
        </w:rPr>
        <w:t> </w:t>
      </w:r>
      <w:r>
        <w:rPr>
          <w:sz w:val="24"/>
        </w:rPr>
        <w:t>Order.</w:t>
      </w:r>
    </w:p>
    <w:p>
      <w:pPr>
        <w:pStyle w:val="BodyText"/>
        <w:spacing w:before="10"/>
        <w:rPr>
          <w:sz w:val="20"/>
        </w:rPr>
      </w:pPr>
    </w:p>
    <w:p>
      <w:pPr>
        <w:pStyle w:val="ListParagraph"/>
        <w:numPr>
          <w:ilvl w:val="2"/>
          <w:numId w:val="36"/>
        </w:numPr>
        <w:tabs>
          <w:tab w:pos="1100" w:val="left" w:leader="none"/>
          <w:tab w:pos="1101" w:val="left" w:leader="none"/>
        </w:tabs>
        <w:spacing w:line="240" w:lineRule="auto" w:before="1" w:after="0"/>
        <w:ind w:left="1100" w:right="1955" w:hanging="821"/>
        <w:jc w:val="left"/>
        <w:rPr>
          <w:sz w:val="24"/>
        </w:rPr>
      </w:pPr>
      <w:r>
        <w:rPr>
          <w:sz w:val="24"/>
        </w:rPr>
        <w:t>A Certification by the Discharger that all Permit Registration</w:t>
      </w:r>
      <w:r>
        <w:rPr>
          <w:spacing w:val="-46"/>
          <w:sz w:val="24"/>
        </w:rPr>
        <w:t> </w:t>
      </w:r>
      <w:r>
        <w:rPr>
          <w:sz w:val="24"/>
        </w:rPr>
        <w:t>Documents submitted are correct and true. (Attachment D, section</w:t>
      </w:r>
      <w:r>
        <w:rPr>
          <w:spacing w:val="-6"/>
          <w:sz w:val="24"/>
        </w:rPr>
        <w:t> </w:t>
      </w:r>
      <w:r>
        <w:rPr>
          <w:sz w:val="24"/>
        </w:rPr>
        <w:t>5.2)</w:t>
      </w:r>
    </w:p>
    <w:p>
      <w:pPr>
        <w:pStyle w:val="BodyText"/>
        <w:spacing w:before="9"/>
        <w:rPr>
          <w:sz w:val="20"/>
        </w:rPr>
      </w:pPr>
    </w:p>
    <w:p>
      <w:pPr>
        <w:pStyle w:val="ListParagraph"/>
        <w:numPr>
          <w:ilvl w:val="2"/>
          <w:numId w:val="36"/>
        </w:numPr>
        <w:tabs>
          <w:tab w:pos="1100" w:val="left" w:leader="none"/>
          <w:tab w:pos="1101" w:val="left" w:leader="none"/>
        </w:tabs>
        <w:spacing w:line="240" w:lineRule="auto" w:before="1" w:after="0"/>
        <w:ind w:left="1100" w:right="1687" w:hanging="821"/>
        <w:jc w:val="left"/>
        <w:rPr>
          <w:sz w:val="24"/>
        </w:rPr>
      </w:pPr>
      <w:r>
        <w:rPr>
          <w:sz w:val="24"/>
        </w:rPr>
        <w:t>SMARTS Electronic Authorization Form (Signed by any user authorized to certify and submit data</w:t>
      </w:r>
      <w:r>
        <w:rPr>
          <w:spacing w:val="-2"/>
          <w:sz w:val="24"/>
        </w:rPr>
        <w:t> </w:t>
      </w:r>
      <w:r>
        <w:rPr>
          <w:sz w:val="24"/>
        </w:rPr>
        <w:t>electronically).</w:t>
      </w:r>
    </w:p>
    <w:p>
      <w:pPr>
        <w:spacing w:after="0" w:line="240" w:lineRule="auto"/>
        <w:jc w:val="left"/>
        <w:rPr>
          <w:sz w:val="24"/>
        </w:rPr>
        <w:sectPr>
          <w:pgSz w:w="12240" w:h="15840"/>
          <w:pgMar w:header="728" w:footer="788" w:top="1540" w:bottom="980" w:left="1160" w:right="420"/>
        </w:sectPr>
      </w:pPr>
    </w:p>
    <w:p>
      <w:pPr>
        <w:pStyle w:val="BodyText"/>
        <w:spacing w:before="11"/>
        <w:rPr>
          <w:sz w:val="15"/>
        </w:rPr>
      </w:pPr>
    </w:p>
    <w:p>
      <w:pPr>
        <w:pStyle w:val="Heading1"/>
        <w:spacing w:before="92"/>
        <w:ind w:left="1420" w:right="1931"/>
        <w:jc w:val="center"/>
      </w:pPr>
      <w:r>
        <w:rPr/>
        <w:t>ATTACHMENT H — WATERSHED MANAGEMENT PROGRAMS</w:t>
      </w:r>
    </w:p>
    <w:p>
      <w:pPr>
        <w:spacing w:before="0"/>
        <w:ind w:left="286" w:right="1026" w:firstLine="0"/>
        <w:jc w:val="center"/>
        <w:rPr>
          <w:b/>
          <w:sz w:val="24"/>
        </w:rPr>
      </w:pPr>
      <w:r>
        <w:rPr>
          <w:b/>
          <w:sz w:val="24"/>
        </w:rPr>
        <w:t>IN THE LOS CERRITOS CHANNEL AND DOMINGUEZ CHANNEL WATERSHEDS</w:t>
      </w:r>
    </w:p>
    <w:p>
      <w:pPr>
        <w:pStyle w:val="BodyText"/>
        <w:spacing w:before="10"/>
        <w:rPr>
          <w:b/>
          <w:sz w:val="20"/>
        </w:rPr>
      </w:pPr>
    </w:p>
    <w:p>
      <w:pPr>
        <w:pStyle w:val="BodyText"/>
        <w:ind w:left="280" w:right="1103"/>
      </w:pPr>
      <w:r>
        <w:rPr/>
        <w:t>The Watershed Management Programs below are available at the </w:t>
      </w:r>
      <w:r>
        <w:rPr>
          <w:color w:val="0000FF"/>
          <w:u w:val="single" w:color="0000FF"/>
        </w:rPr>
        <w:t>Los Angeles Water</w:t>
      </w:r>
      <w:r>
        <w:rPr>
          <w:color w:val="0000FF"/>
        </w:rPr>
        <w:t> </w:t>
      </w:r>
      <w:r>
        <w:rPr>
          <w:color w:val="0000FF"/>
          <w:u w:val="single" w:color="0000FF"/>
        </w:rPr>
        <w:t>Board website</w:t>
      </w:r>
      <w:r>
        <w:rPr>
          <w:color w:val="0000FF"/>
        </w:rPr>
        <w:t> </w:t>
      </w:r>
      <w:hyperlink r:id="rId75">
        <w:r>
          <w:rPr/>
          <w:t>(https://www.waterboards.ca.gov/losange</w:t>
        </w:r>
      </w:hyperlink>
      <w:r>
        <w:rPr/>
        <w:t>les/wa</w:t>
      </w:r>
      <w:hyperlink r:id="rId75">
        <w:r>
          <w:rPr/>
          <w:t>ter_issues/programs/stormwater/munici</w:t>
        </w:r>
      </w:hyperlink>
      <w:r>
        <w:rPr/>
        <w:t> pal/watershed_management/baseline_permittees/index.html).</w:t>
      </w:r>
    </w:p>
    <w:p>
      <w:pPr>
        <w:pStyle w:val="BodyText"/>
        <w:spacing w:before="10"/>
        <w:rPr>
          <w:sz w:val="20"/>
        </w:rPr>
      </w:pPr>
    </w:p>
    <w:p>
      <w:pPr>
        <w:pStyle w:val="Heading1"/>
        <w:ind w:left="1210" w:right="1947"/>
        <w:jc w:val="center"/>
      </w:pPr>
      <w:r>
        <w:rPr/>
        <w:t>Table H-1. Watershed Management Programs</w:t>
      </w:r>
    </w:p>
    <w:tbl>
      <w:tblPr>
        <w:tblW w:w="0" w:type="auto"/>
        <w:jc w:val="left"/>
        <w:tblInd w:w="14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690"/>
        <w:gridCol w:w="3420"/>
      </w:tblGrid>
      <w:tr>
        <w:trPr>
          <w:trHeight w:val="435" w:hRule="atLeast"/>
        </w:trPr>
        <w:tc>
          <w:tcPr>
            <w:tcW w:w="3690" w:type="dxa"/>
            <w:shd w:val="clear" w:color="auto" w:fill="D9D9D9"/>
          </w:tcPr>
          <w:p>
            <w:pPr>
              <w:pStyle w:val="TableParagraph"/>
              <w:spacing w:before="80"/>
              <w:ind w:left="1124"/>
              <w:jc w:val="left"/>
              <w:rPr>
                <w:b/>
                <w:sz w:val="24"/>
              </w:rPr>
            </w:pPr>
            <w:r>
              <w:rPr>
                <w:b/>
                <w:sz w:val="24"/>
              </w:rPr>
              <w:t>Group Name</w:t>
            </w:r>
          </w:p>
        </w:tc>
        <w:tc>
          <w:tcPr>
            <w:tcW w:w="3420" w:type="dxa"/>
            <w:shd w:val="clear" w:color="auto" w:fill="D9D9D9"/>
          </w:tcPr>
          <w:p>
            <w:pPr>
              <w:pStyle w:val="TableParagraph"/>
              <w:spacing w:before="80"/>
              <w:ind w:left="1096"/>
              <w:jc w:val="left"/>
              <w:rPr>
                <w:b/>
                <w:sz w:val="24"/>
              </w:rPr>
            </w:pPr>
            <w:r>
              <w:rPr>
                <w:b/>
                <w:sz w:val="24"/>
              </w:rPr>
              <w:t>Watershed</w:t>
            </w:r>
          </w:p>
        </w:tc>
      </w:tr>
      <w:tr>
        <w:trPr>
          <w:trHeight w:val="908" w:hRule="atLeast"/>
        </w:trPr>
        <w:tc>
          <w:tcPr>
            <w:tcW w:w="3690" w:type="dxa"/>
          </w:tcPr>
          <w:p>
            <w:pPr>
              <w:pStyle w:val="TableParagraph"/>
              <w:spacing w:before="179"/>
              <w:ind w:left="897" w:right="688" w:hanging="180"/>
              <w:jc w:val="left"/>
              <w:rPr>
                <w:sz w:val="24"/>
              </w:rPr>
            </w:pPr>
            <w:r>
              <w:rPr>
                <w:sz w:val="24"/>
              </w:rPr>
              <w:t>Los Cerritos Channel Watershed Group</w:t>
            </w:r>
          </w:p>
        </w:tc>
        <w:tc>
          <w:tcPr>
            <w:tcW w:w="3420" w:type="dxa"/>
          </w:tcPr>
          <w:p>
            <w:pPr>
              <w:pStyle w:val="TableParagraph"/>
              <w:spacing w:before="41"/>
              <w:ind w:left="528" w:right="519" w:firstLine="2"/>
              <w:rPr>
                <w:sz w:val="24"/>
              </w:rPr>
            </w:pPr>
            <w:r>
              <w:rPr>
                <w:sz w:val="24"/>
              </w:rPr>
              <w:t>Los Cerritos Channel/Alamitos Bay Watershed</w:t>
            </w:r>
          </w:p>
        </w:tc>
      </w:tr>
      <w:tr>
        <w:trPr>
          <w:trHeight w:val="632" w:hRule="atLeast"/>
        </w:trPr>
        <w:tc>
          <w:tcPr>
            <w:tcW w:w="3690" w:type="dxa"/>
          </w:tcPr>
          <w:p>
            <w:pPr>
              <w:pStyle w:val="TableParagraph"/>
              <w:spacing w:before="41"/>
              <w:ind w:left="1030" w:right="436" w:hanging="567"/>
              <w:jc w:val="left"/>
              <w:rPr>
                <w:sz w:val="24"/>
              </w:rPr>
            </w:pPr>
            <w:r>
              <w:rPr>
                <w:sz w:val="24"/>
              </w:rPr>
              <w:t>Alamitos Bay/Los Cerritos Channel Group</w:t>
            </w:r>
          </w:p>
        </w:tc>
        <w:tc>
          <w:tcPr>
            <w:tcW w:w="3420" w:type="dxa"/>
          </w:tcPr>
          <w:p>
            <w:pPr>
              <w:pStyle w:val="TableParagraph"/>
              <w:spacing w:before="41"/>
              <w:ind w:left="395" w:right="367" w:firstLine="153"/>
              <w:jc w:val="left"/>
              <w:rPr>
                <w:sz w:val="24"/>
              </w:rPr>
            </w:pPr>
            <w:r>
              <w:rPr>
                <w:color w:val="323232"/>
                <w:sz w:val="24"/>
              </w:rPr>
              <w:t>Los Cerritos Channel/ Alamitos Bay Watershed</w:t>
            </w:r>
          </w:p>
        </w:tc>
      </w:tr>
      <w:tr>
        <w:trPr>
          <w:trHeight w:val="1183" w:hRule="atLeast"/>
        </w:trPr>
        <w:tc>
          <w:tcPr>
            <w:tcW w:w="3690" w:type="dxa"/>
          </w:tcPr>
          <w:p>
            <w:pPr>
              <w:pStyle w:val="TableParagraph"/>
              <w:spacing w:before="6"/>
              <w:jc w:val="left"/>
              <w:rPr>
                <w:b/>
                <w:sz w:val="27"/>
              </w:rPr>
            </w:pPr>
          </w:p>
          <w:p>
            <w:pPr>
              <w:pStyle w:val="TableParagraph"/>
              <w:ind w:left="764" w:right="528" w:hanging="207"/>
              <w:jc w:val="left"/>
              <w:rPr>
                <w:sz w:val="24"/>
              </w:rPr>
            </w:pPr>
            <w:r>
              <w:rPr>
                <w:sz w:val="24"/>
              </w:rPr>
              <w:t>Beach Cities Watershed Management Group</w:t>
            </w:r>
          </w:p>
        </w:tc>
        <w:tc>
          <w:tcPr>
            <w:tcW w:w="3420" w:type="dxa"/>
          </w:tcPr>
          <w:p>
            <w:pPr>
              <w:pStyle w:val="TableParagraph"/>
              <w:spacing w:before="41"/>
              <w:ind w:left="248" w:right="237" w:firstLine="65"/>
              <w:rPr>
                <w:sz w:val="24"/>
              </w:rPr>
            </w:pPr>
            <w:r>
              <w:rPr>
                <w:sz w:val="24"/>
              </w:rPr>
              <w:t>Dominguez Channel/Inner and Outer Los Angeles and Long Beach Harbor Watershed</w:t>
            </w:r>
          </w:p>
        </w:tc>
      </w:tr>
      <w:tr>
        <w:trPr>
          <w:trHeight w:val="1183" w:hRule="atLeast"/>
        </w:trPr>
        <w:tc>
          <w:tcPr>
            <w:tcW w:w="3690" w:type="dxa"/>
          </w:tcPr>
          <w:p>
            <w:pPr>
              <w:pStyle w:val="TableParagraph"/>
              <w:spacing w:before="6"/>
              <w:jc w:val="left"/>
              <w:rPr>
                <w:b/>
                <w:sz w:val="27"/>
              </w:rPr>
            </w:pPr>
          </w:p>
          <w:p>
            <w:pPr>
              <w:pStyle w:val="TableParagraph"/>
              <w:ind w:left="489" w:right="115" w:hanging="346"/>
              <w:jc w:val="left"/>
              <w:rPr>
                <w:sz w:val="24"/>
              </w:rPr>
            </w:pPr>
            <w:r>
              <w:rPr>
                <w:sz w:val="24"/>
              </w:rPr>
              <w:t>Dominguez Channel Watershed Management Area Group</w:t>
            </w:r>
          </w:p>
        </w:tc>
        <w:tc>
          <w:tcPr>
            <w:tcW w:w="3420" w:type="dxa"/>
          </w:tcPr>
          <w:p>
            <w:pPr>
              <w:pStyle w:val="TableParagraph"/>
              <w:spacing w:before="41"/>
              <w:ind w:left="248" w:right="237" w:hanging="1"/>
              <w:rPr>
                <w:sz w:val="24"/>
              </w:rPr>
            </w:pPr>
            <w:r>
              <w:rPr>
                <w:sz w:val="24"/>
              </w:rPr>
              <w:t>Dominguez Channel/Inner and Outer Los Angeles and Long Beach Harbor Watershed</w:t>
            </w:r>
          </w:p>
        </w:tc>
      </w:tr>
      <w:tr>
        <w:trPr>
          <w:trHeight w:val="1183" w:hRule="atLeast"/>
        </w:trPr>
        <w:tc>
          <w:tcPr>
            <w:tcW w:w="3690" w:type="dxa"/>
          </w:tcPr>
          <w:p>
            <w:pPr>
              <w:pStyle w:val="TableParagraph"/>
              <w:spacing w:before="5"/>
              <w:jc w:val="left"/>
              <w:rPr>
                <w:b/>
                <w:sz w:val="27"/>
              </w:rPr>
            </w:pPr>
          </w:p>
          <w:p>
            <w:pPr>
              <w:pStyle w:val="TableParagraph"/>
              <w:ind w:left="764" w:right="134" w:hanging="600"/>
              <w:jc w:val="left"/>
              <w:rPr>
                <w:sz w:val="24"/>
              </w:rPr>
            </w:pPr>
            <w:r>
              <w:rPr>
                <w:sz w:val="24"/>
              </w:rPr>
              <w:t>Palos Verdes Peninsula EWMP Agencies Group</w:t>
            </w:r>
          </w:p>
        </w:tc>
        <w:tc>
          <w:tcPr>
            <w:tcW w:w="3420" w:type="dxa"/>
          </w:tcPr>
          <w:p>
            <w:pPr>
              <w:pStyle w:val="TableParagraph"/>
              <w:spacing w:before="41"/>
              <w:ind w:left="248" w:right="237" w:firstLine="65"/>
              <w:rPr>
                <w:sz w:val="24"/>
              </w:rPr>
            </w:pPr>
            <w:r>
              <w:rPr>
                <w:sz w:val="24"/>
              </w:rPr>
              <w:t>Dominguez Channel/Inner and Outer Los Angeles and Long Beach Harbor Watershed</w:t>
            </w:r>
          </w:p>
        </w:tc>
      </w:tr>
      <w:tr>
        <w:trPr>
          <w:trHeight w:val="1736" w:hRule="atLeast"/>
        </w:trPr>
        <w:tc>
          <w:tcPr>
            <w:tcW w:w="3690" w:type="dxa"/>
          </w:tcPr>
          <w:p>
            <w:pPr>
              <w:pStyle w:val="TableParagraph"/>
              <w:jc w:val="left"/>
              <w:rPr>
                <w:b/>
                <w:sz w:val="26"/>
              </w:rPr>
            </w:pPr>
          </w:p>
          <w:p>
            <w:pPr>
              <w:pStyle w:val="TableParagraph"/>
              <w:spacing w:before="155"/>
              <w:ind w:left="243" w:right="231" w:hanging="3"/>
              <w:rPr>
                <w:sz w:val="24"/>
              </w:rPr>
            </w:pPr>
            <w:r>
              <w:rPr>
                <w:sz w:val="24"/>
              </w:rPr>
              <w:t>Long Beach Near Shore Watershed Management Area Group</w:t>
            </w:r>
          </w:p>
        </w:tc>
        <w:tc>
          <w:tcPr>
            <w:tcW w:w="3420" w:type="dxa"/>
          </w:tcPr>
          <w:p>
            <w:pPr>
              <w:pStyle w:val="TableParagraph"/>
              <w:spacing w:before="40"/>
              <w:ind w:left="248" w:right="237" w:hanging="1"/>
              <w:rPr>
                <w:sz w:val="24"/>
              </w:rPr>
            </w:pPr>
            <w:r>
              <w:rPr>
                <w:sz w:val="24"/>
              </w:rPr>
              <w:t>Dominguez Channel/Inner and Outer Los Angeles and Long Beach Harbor Watershed; Los Cerritos Channel/ Alamitos Bay Watershed</w:t>
            </w:r>
          </w:p>
        </w:tc>
      </w:tr>
    </w:tbl>
    <w:p>
      <w:pPr>
        <w:spacing w:after="0"/>
        <w:rPr>
          <w:sz w:val="24"/>
        </w:rPr>
        <w:sectPr>
          <w:headerReference w:type="default" r:id="rId73"/>
          <w:footerReference w:type="default" r:id="rId74"/>
          <w:pgSz w:w="12240" w:h="15840"/>
          <w:pgMar w:header="728" w:footer="788" w:top="1540" w:bottom="980" w:left="1160" w:right="420"/>
        </w:sectPr>
      </w:pPr>
    </w:p>
    <w:p>
      <w:pPr>
        <w:pStyle w:val="BodyText"/>
        <w:spacing w:before="11"/>
        <w:rPr>
          <w:b/>
          <w:sz w:val="15"/>
        </w:rPr>
      </w:pPr>
    </w:p>
    <w:p>
      <w:pPr>
        <w:spacing w:before="92"/>
        <w:ind w:left="1886" w:right="2624" w:firstLine="728"/>
        <w:jc w:val="left"/>
        <w:rPr>
          <w:b/>
          <w:sz w:val="24"/>
        </w:rPr>
      </w:pPr>
      <w:r>
        <w:rPr>
          <w:b/>
          <w:sz w:val="24"/>
        </w:rPr>
        <w:t>ATTACHMENT I — COMPLIANCE OPTION 2 FACILITY-SPECIFIC DESIGN STANDARD TO REDUCE</w:t>
      </w:r>
    </w:p>
    <w:p>
      <w:pPr>
        <w:spacing w:line="448" w:lineRule="auto" w:before="0"/>
        <w:ind w:left="3666" w:right="3274" w:hanging="1114"/>
        <w:jc w:val="left"/>
        <w:rPr>
          <w:b/>
          <w:sz w:val="24"/>
        </w:rPr>
      </w:pPr>
      <w:r>
        <w:rPr>
          <w:b/>
          <w:sz w:val="24"/>
        </w:rPr>
        <w:t>STORMWATER RUNOFF REQUIREMENTS TABLE OF CONTENTS</w:t>
      </w:r>
    </w:p>
    <w:p>
      <w:pPr>
        <w:pStyle w:val="BodyText"/>
        <w:tabs>
          <w:tab w:pos="819" w:val="left" w:leader="none"/>
          <w:tab w:pos="9367" w:val="left" w:leader="dot"/>
        </w:tabs>
        <w:ind w:left="280"/>
      </w:pPr>
      <w:r>
        <w:rPr/>
        <w:t>1.</w:t>
        <w:tab/>
        <w:t>Compliance</w:t>
      </w:r>
      <w:r>
        <w:rPr>
          <w:spacing w:val="-4"/>
        </w:rPr>
        <w:t> </w:t>
      </w:r>
      <w:r>
        <w:rPr/>
        <w:t>Requirements</w:t>
        <w:tab/>
        <w:t>I-3</w:t>
      </w:r>
    </w:p>
    <w:p>
      <w:pPr>
        <w:pStyle w:val="BodyText"/>
        <w:spacing w:before="60"/>
        <w:ind w:left="524"/>
      </w:pPr>
      <w:r>
        <w:rPr/>
        <w:t>1.1. Best Management Practices...............................................................................</w:t>
      </w:r>
      <w:r>
        <w:rPr>
          <w:spacing w:val="-25"/>
        </w:rPr>
        <w:t> </w:t>
      </w:r>
      <w:r>
        <w:rPr/>
        <w:t>I-3</w:t>
      </w:r>
    </w:p>
    <w:p>
      <w:pPr>
        <w:pStyle w:val="BodyText"/>
        <w:spacing w:line="292" w:lineRule="auto" w:before="60"/>
        <w:ind w:left="524" w:right="1018"/>
      </w:pPr>
      <w:r>
        <w:rPr/>
        <w:t>1.2.</w:t>
      </w:r>
      <w:r>
        <w:rPr>
          <w:spacing w:val="2"/>
        </w:rPr>
        <w:t> </w:t>
      </w:r>
      <w:r>
        <w:rPr/>
        <w:t>Requirements</w:t>
      </w:r>
      <w:r>
        <w:rPr>
          <w:spacing w:val="-4"/>
        </w:rPr>
        <w:t> </w:t>
      </w:r>
      <w:r>
        <w:rPr/>
        <w:t>for</w:t>
      </w:r>
      <w:r>
        <w:rPr>
          <w:spacing w:val="-5"/>
        </w:rPr>
        <w:t> </w:t>
      </w:r>
      <w:r>
        <w:rPr/>
        <w:t>BMP</w:t>
      </w:r>
      <w:r>
        <w:rPr>
          <w:spacing w:val="-5"/>
        </w:rPr>
        <w:t> </w:t>
      </w:r>
      <w:r>
        <w:rPr/>
        <w:t>Construction</w:t>
      </w:r>
      <w:r>
        <w:rPr>
          <w:spacing w:val="-2"/>
        </w:rPr>
        <w:t> </w:t>
      </w:r>
      <w:r>
        <w:rPr/>
        <w:t>and</w:t>
      </w:r>
      <w:r>
        <w:rPr>
          <w:spacing w:val="-4"/>
        </w:rPr>
        <w:t> </w:t>
      </w:r>
      <w:r>
        <w:rPr/>
        <w:t>Operational</w:t>
      </w:r>
      <w:r>
        <w:rPr>
          <w:spacing w:val="-4"/>
        </w:rPr>
        <w:t> </w:t>
      </w:r>
      <w:r>
        <w:rPr/>
        <w:t>Timeline</w:t>
      </w:r>
      <w:r>
        <w:rPr>
          <w:spacing w:val="-17"/>
        </w:rPr>
        <w:t> </w:t>
      </w:r>
      <w:r>
        <w:rPr/>
        <w:t>.........................</w:t>
      </w:r>
      <w:r>
        <w:rPr>
          <w:spacing w:val="-31"/>
        </w:rPr>
        <w:t> </w:t>
      </w:r>
      <w:r>
        <w:rPr/>
        <w:t>I-6 1.3. Reporting Requirements for BMP(s) Design.......................................................</w:t>
      </w:r>
      <w:r>
        <w:rPr>
          <w:spacing w:val="-48"/>
        </w:rPr>
        <w:t> </w:t>
      </w:r>
      <w:r>
        <w:rPr/>
        <w:t>I-6</w:t>
      </w:r>
    </w:p>
    <w:p>
      <w:pPr>
        <w:pStyle w:val="ListParagraph"/>
        <w:numPr>
          <w:ilvl w:val="1"/>
          <w:numId w:val="37"/>
        </w:numPr>
        <w:tabs>
          <w:tab w:pos="1000" w:val="left" w:leader="none"/>
        </w:tabs>
        <w:spacing w:line="275" w:lineRule="exact" w:before="0" w:after="0"/>
        <w:ind w:left="1000" w:right="0" w:hanging="476"/>
        <w:jc w:val="left"/>
        <w:rPr>
          <w:sz w:val="24"/>
        </w:rPr>
      </w:pPr>
      <w:r>
        <w:rPr>
          <w:sz w:val="24"/>
        </w:rPr>
        <w:t>Monitoring and Reporting Requirements for a Discharger</w:t>
      </w:r>
      <w:r>
        <w:rPr>
          <w:spacing w:val="-4"/>
          <w:sz w:val="24"/>
        </w:rPr>
        <w:t> </w:t>
      </w:r>
      <w:r>
        <w:rPr>
          <w:sz w:val="24"/>
        </w:rPr>
        <w:t>with</w:t>
      </w:r>
    </w:p>
    <w:p>
      <w:pPr>
        <w:pStyle w:val="BodyText"/>
        <w:ind w:left="1000"/>
      </w:pPr>
      <w:r>
        <w:rPr/>
        <w:t>Implemented and Operational BMP(s) ............................................................... I-6</w:t>
      </w:r>
    </w:p>
    <w:p>
      <w:pPr>
        <w:pStyle w:val="ListParagraph"/>
        <w:numPr>
          <w:ilvl w:val="1"/>
          <w:numId w:val="37"/>
        </w:numPr>
        <w:tabs>
          <w:tab w:pos="1000" w:val="left" w:leader="none"/>
        </w:tabs>
        <w:spacing w:line="240" w:lineRule="auto" w:before="60" w:after="0"/>
        <w:ind w:left="1000" w:right="0" w:hanging="476"/>
        <w:jc w:val="left"/>
        <w:rPr>
          <w:sz w:val="24"/>
        </w:rPr>
      </w:pPr>
      <w:r>
        <w:rPr>
          <w:sz w:val="24"/>
        </w:rPr>
        <w:t>Stormwater</w:t>
      </w:r>
      <w:r>
        <w:rPr>
          <w:spacing w:val="-3"/>
          <w:sz w:val="24"/>
        </w:rPr>
        <w:t> </w:t>
      </w:r>
      <w:r>
        <w:rPr>
          <w:sz w:val="24"/>
        </w:rPr>
        <w:t>Pollution</w:t>
      </w:r>
      <w:r>
        <w:rPr>
          <w:spacing w:val="-1"/>
          <w:sz w:val="24"/>
        </w:rPr>
        <w:t> </w:t>
      </w:r>
      <w:r>
        <w:rPr>
          <w:sz w:val="24"/>
        </w:rPr>
        <w:t>Prevention</w:t>
      </w:r>
      <w:r>
        <w:rPr>
          <w:spacing w:val="-2"/>
          <w:sz w:val="24"/>
        </w:rPr>
        <w:t> </w:t>
      </w:r>
      <w:r>
        <w:rPr>
          <w:sz w:val="24"/>
        </w:rPr>
        <w:t>Plan</w:t>
      </w:r>
      <w:r>
        <w:rPr>
          <w:spacing w:val="-2"/>
          <w:sz w:val="24"/>
        </w:rPr>
        <w:t> </w:t>
      </w:r>
      <w:r>
        <w:rPr>
          <w:sz w:val="24"/>
        </w:rPr>
        <w:t>Requirements</w:t>
      </w:r>
      <w:r>
        <w:rPr>
          <w:spacing w:val="-36"/>
          <w:sz w:val="24"/>
        </w:rPr>
        <w:t> </w:t>
      </w:r>
      <w:r>
        <w:rPr>
          <w:sz w:val="24"/>
        </w:rPr>
        <w:t>.........................................</w:t>
      </w:r>
      <w:r>
        <w:rPr>
          <w:spacing w:val="-30"/>
          <w:sz w:val="24"/>
        </w:rPr>
        <w:t> </w:t>
      </w:r>
      <w:r>
        <w:rPr>
          <w:sz w:val="24"/>
        </w:rPr>
        <w:t>I-7</w:t>
      </w:r>
    </w:p>
    <w:p>
      <w:pPr>
        <w:pStyle w:val="ListParagraph"/>
        <w:numPr>
          <w:ilvl w:val="1"/>
          <w:numId w:val="37"/>
        </w:numPr>
        <w:tabs>
          <w:tab w:pos="1000" w:val="left" w:leader="none"/>
        </w:tabs>
        <w:spacing w:line="240" w:lineRule="auto" w:before="60" w:after="0"/>
        <w:ind w:left="1000" w:right="0" w:hanging="476"/>
        <w:jc w:val="left"/>
        <w:rPr>
          <w:sz w:val="24"/>
        </w:rPr>
      </w:pPr>
      <w:r>
        <w:rPr>
          <w:sz w:val="24"/>
        </w:rPr>
        <w:t>Additional Los Angeles Water Board Authorities for</w:t>
      </w:r>
      <w:r>
        <w:rPr>
          <w:spacing w:val="-6"/>
          <w:sz w:val="24"/>
        </w:rPr>
        <w:t> </w:t>
      </w:r>
      <w:r>
        <w:rPr>
          <w:sz w:val="24"/>
        </w:rPr>
        <w:t>Dischargers</w:t>
      </w:r>
    </w:p>
    <w:p>
      <w:pPr>
        <w:pStyle w:val="BodyText"/>
        <w:ind w:left="524" w:right="1009"/>
        <w:jc w:val="right"/>
      </w:pPr>
      <w:r>
        <w:rPr/>
        <w:t>Implementing Compliance Option.......................................................................</w:t>
      </w:r>
      <w:r>
        <w:rPr>
          <w:spacing w:val="-35"/>
        </w:rPr>
        <w:t> </w:t>
      </w:r>
      <w:r>
        <w:rPr/>
        <w:t>I-8</w:t>
      </w:r>
    </w:p>
    <w:p>
      <w:pPr>
        <w:pStyle w:val="BodyText"/>
        <w:tabs>
          <w:tab w:pos="539" w:val="left" w:leader="none"/>
        </w:tabs>
        <w:spacing w:before="60"/>
        <w:ind w:right="1009"/>
        <w:jc w:val="right"/>
      </w:pPr>
      <w:r>
        <w:rPr/>
        <w:t>2.</w:t>
        <w:tab/>
        <w:t>Additional</w:t>
      </w:r>
      <w:r>
        <w:rPr>
          <w:spacing w:val="-5"/>
        </w:rPr>
        <w:t> </w:t>
      </w:r>
      <w:r>
        <w:rPr/>
        <w:t>Requirements</w:t>
      </w:r>
      <w:r>
        <w:rPr>
          <w:spacing w:val="-29"/>
        </w:rPr>
        <w:t> </w:t>
      </w:r>
      <w:r>
        <w:rPr/>
        <w:t>.......................................................................................</w:t>
      </w:r>
      <w:r>
        <w:rPr>
          <w:spacing w:val="-32"/>
        </w:rPr>
        <w:t> </w:t>
      </w:r>
      <w:r>
        <w:rPr/>
        <w:t>I-9</w:t>
      </w:r>
    </w:p>
    <w:p>
      <w:pPr>
        <w:pStyle w:val="BodyText"/>
        <w:spacing w:before="60"/>
        <w:ind w:left="524" w:right="1007"/>
        <w:jc w:val="right"/>
      </w:pPr>
      <w:r>
        <w:rPr/>
        <w:t>2.1. Discharge Prohibitions........................................................................................</w:t>
      </w:r>
      <w:r>
        <w:rPr>
          <w:spacing w:val="-29"/>
        </w:rPr>
        <w:t> </w:t>
      </w:r>
      <w:r>
        <w:rPr/>
        <w:t>I-9</w:t>
      </w:r>
    </w:p>
    <w:p>
      <w:pPr>
        <w:pStyle w:val="BodyText"/>
        <w:spacing w:before="60"/>
        <w:ind w:left="524" w:right="1008"/>
        <w:jc w:val="right"/>
      </w:pPr>
      <w:r>
        <w:rPr/>
        <w:t>2.2. Pollution Migration Prohibitions ..........................................................................</w:t>
      </w:r>
      <w:r>
        <w:rPr>
          <w:spacing w:val="-51"/>
        </w:rPr>
        <w:t> </w:t>
      </w:r>
      <w:r>
        <w:rPr/>
        <w:t>I-9</w:t>
      </w:r>
    </w:p>
    <w:p>
      <w:pPr>
        <w:pStyle w:val="BodyText"/>
        <w:spacing w:before="60"/>
        <w:ind w:left="524" w:right="1010"/>
        <w:jc w:val="right"/>
      </w:pPr>
      <w:r>
        <w:rPr/>
        <w:t>2.3. Infiltration and Water Quality Protection .............................................................</w:t>
      </w:r>
      <w:r>
        <w:rPr>
          <w:spacing w:val="-54"/>
        </w:rPr>
        <w:t> </w:t>
      </w:r>
      <w:r>
        <w:rPr/>
        <w:t>I-9</w:t>
      </w:r>
    </w:p>
    <w:p>
      <w:pPr>
        <w:pStyle w:val="BodyText"/>
        <w:spacing w:before="5"/>
        <w:rPr>
          <w:sz w:val="34"/>
        </w:rPr>
      </w:pPr>
    </w:p>
    <w:p>
      <w:pPr>
        <w:pStyle w:val="Heading1"/>
        <w:ind w:left="1209" w:right="1947"/>
        <w:jc w:val="center"/>
      </w:pPr>
      <w:r>
        <w:rPr/>
        <w:t>TABLE OF TABLES</w:t>
      </w:r>
    </w:p>
    <w:p>
      <w:pPr>
        <w:pStyle w:val="BodyText"/>
        <w:spacing w:before="10"/>
        <w:rPr>
          <w:b/>
          <w:sz w:val="20"/>
        </w:rPr>
      </w:pPr>
    </w:p>
    <w:p>
      <w:pPr>
        <w:pStyle w:val="BodyText"/>
        <w:ind w:right="1024"/>
        <w:jc w:val="right"/>
      </w:pPr>
      <w:r>
        <w:rPr/>
        <w:t>Table I-1. Applicable Constituents with Primary or Secondary MCLs ........................... I-5</w:t>
      </w:r>
    </w:p>
    <w:p>
      <w:pPr>
        <w:spacing w:after="0"/>
        <w:jc w:val="right"/>
        <w:sectPr>
          <w:headerReference w:type="default" r:id="rId76"/>
          <w:footerReference w:type="default" r:id="rId77"/>
          <w:pgSz w:w="12240" w:h="15840"/>
          <w:pgMar w:header="728" w:footer="788" w:top="1540" w:bottom="980" w:left="1160" w:right="420"/>
          <w:pgNumType w:start="2"/>
        </w:sectPr>
      </w:pPr>
    </w:p>
    <w:p>
      <w:pPr>
        <w:pStyle w:val="BodyText"/>
        <w:spacing w:before="11"/>
        <w:rPr>
          <w:sz w:val="15"/>
        </w:rPr>
      </w:pPr>
    </w:p>
    <w:p>
      <w:pPr>
        <w:pStyle w:val="Heading1"/>
        <w:numPr>
          <w:ilvl w:val="0"/>
          <w:numId w:val="38"/>
        </w:numPr>
        <w:tabs>
          <w:tab w:pos="640" w:val="left" w:leader="none"/>
        </w:tabs>
        <w:spacing w:line="240" w:lineRule="auto" w:before="92" w:after="0"/>
        <w:ind w:left="639" w:right="0" w:hanging="360"/>
        <w:jc w:val="left"/>
      </w:pPr>
      <w:r>
        <w:rPr/>
        <w:t>COMPLIANCE</w:t>
      </w:r>
      <w:r>
        <w:rPr>
          <w:spacing w:val="-20"/>
        </w:rPr>
        <w:t> </w:t>
      </w:r>
      <w:r>
        <w:rPr/>
        <w:t>REQUIREMENTS.</w:t>
      </w:r>
    </w:p>
    <w:p>
      <w:pPr>
        <w:pStyle w:val="BodyText"/>
        <w:spacing w:before="10"/>
        <w:rPr>
          <w:b/>
          <w:sz w:val="20"/>
        </w:rPr>
      </w:pPr>
    </w:p>
    <w:p>
      <w:pPr>
        <w:pStyle w:val="ListParagraph"/>
        <w:numPr>
          <w:ilvl w:val="1"/>
          <w:numId w:val="38"/>
        </w:numPr>
        <w:tabs>
          <w:tab w:pos="871" w:val="left" w:leader="none"/>
        </w:tabs>
        <w:spacing w:line="240" w:lineRule="auto" w:before="0" w:after="0"/>
        <w:ind w:left="870" w:right="0" w:hanging="591"/>
        <w:jc w:val="left"/>
        <w:rPr>
          <w:b/>
          <w:sz w:val="24"/>
        </w:rPr>
      </w:pPr>
      <w:r>
        <w:rPr>
          <w:b/>
          <w:sz w:val="24"/>
        </w:rPr>
        <w:t>Best Management</w:t>
      </w:r>
      <w:r>
        <w:rPr>
          <w:b/>
          <w:spacing w:val="-22"/>
          <w:sz w:val="24"/>
        </w:rPr>
        <w:t> </w:t>
      </w:r>
      <w:r>
        <w:rPr>
          <w:b/>
          <w:sz w:val="24"/>
        </w:rPr>
        <w:t>Practices.</w:t>
      </w:r>
    </w:p>
    <w:p>
      <w:pPr>
        <w:pStyle w:val="BodyText"/>
        <w:spacing w:before="10"/>
        <w:rPr>
          <w:b/>
          <w:sz w:val="20"/>
        </w:rPr>
      </w:pPr>
    </w:p>
    <w:p>
      <w:pPr>
        <w:pStyle w:val="ListParagraph"/>
        <w:numPr>
          <w:ilvl w:val="2"/>
          <w:numId w:val="38"/>
        </w:numPr>
        <w:tabs>
          <w:tab w:pos="1100" w:val="left" w:leader="none"/>
          <w:tab w:pos="1101" w:val="left" w:leader="none"/>
        </w:tabs>
        <w:spacing w:line="240" w:lineRule="auto" w:before="0" w:after="0"/>
        <w:ind w:left="1100" w:right="1124" w:hanging="821"/>
        <w:jc w:val="left"/>
        <w:rPr>
          <w:sz w:val="24"/>
        </w:rPr>
      </w:pPr>
      <w:r>
        <w:rPr>
          <w:sz w:val="24"/>
        </w:rPr>
        <w:t>The Discharger shall implement on-site BMPs with design storm standard(s) for capture and use, infiltration, and/or evapotranspiration of stormwater and authorized non-stormwater discharges</w:t>
      </w:r>
      <w:r>
        <w:rPr>
          <w:spacing w:val="-1"/>
          <w:sz w:val="24"/>
        </w:rPr>
        <w:t> </w:t>
      </w:r>
      <w:r>
        <w:rPr>
          <w:sz w:val="24"/>
        </w:rPr>
        <w:t>(NSWDs).</w:t>
      </w:r>
    </w:p>
    <w:p>
      <w:pPr>
        <w:pStyle w:val="BodyText"/>
        <w:spacing w:before="10"/>
        <w:rPr>
          <w:sz w:val="20"/>
        </w:rPr>
      </w:pPr>
    </w:p>
    <w:p>
      <w:pPr>
        <w:pStyle w:val="ListParagraph"/>
        <w:numPr>
          <w:ilvl w:val="2"/>
          <w:numId w:val="38"/>
        </w:numPr>
        <w:tabs>
          <w:tab w:pos="1100" w:val="left" w:leader="none"/>
          <w:tab w:pos="1101" w:val="left" w:leader="none"/>
        </w:tabs>
        <w:spacing w:line="240" w:lineRule="auto" w:before="0" w:after="0"/>
        <w:ind w:left="1100" w:right="1023" w:hanging="821"/>
        <w:jc w:val="left"/>
        <w:rPr>
          <w:sz w:val="24"/>
        </w:rPr>
      </w:pPr>
      <w:r>
        <w:rPr>
          <w:sz w:val="24"/>
        </w:rPr>
        <w:t>The Discharger may include BMPs that capture and divert the required stormwater runoff</w:t>
      </w:r>
      <w:r>
        <w:rPr>
          <w:position w:val="8"/>
          <w:sz w:val="16"/>
        </w:rPr>
        <w:t>1 </w:t>
      </w:r>
      <w:r>
        <w:rPr>
          <w:sz w:val="24"/>
        </w:rPr>
        <w:t>volumes to a publicly-owned sanitary sewer treatment facility, to an on-site facility for on-site use, to a regional reclaimed water distribution system, or a combination thereof. Proposed discharges to a publicly-owned sanitary sewer or reclaimed water distribution system shall be supported by a permit or by authorization in writing from the system’s agency that specifically allows the proposed stormwater flow rates. The minimum required BMP volume to be diverted shall be in accordance with the sections 1.1.4.1, 1.1.4.2</w:t>
      </w:r>
      <w:r>
        <w:rPr>
          <w:spacing w:val="-27"/>
          <w:sz w:val="24"/>
        </w:rPr>
        <w:t> </w:t>
      </w:r>
      <w:r>
        <w:rPr>
          <w:sz w:val="24"/>
        </w:rPr>
        <w:t>and</w:t>
      </w:r>
    </w:p>
    <w:p>
      <w:pPr>
        <w:pStyle w:val="BodyText"/>
        <w:ind w:left="1100" w:right="1322"/>
      </w:pPr>
      <w:r>
        <w:rPr/>
        <w:t>1.1.4.3 below. The diverted or used volume of stormwater is not authorized to discharge into a municipal separate storm sewer system (MS4) or receiving surface waterbody from the facility.</w:t>
      </w:r>
    </w:p>
    <w:p>
      <w:pPr>
        <w:pStyle w:val="BodyText"/>
        <w:spacing w:before="8"/>
        <w:rPr>
          <w:sz w:val="20"/>
        </w:rPr>
      </w:pPr>
    </w:p>
    <w:p>
      <w:pPr>
        <w:pStyle w:val="ListParagraph"/>
        <w:numPr>
          <w:ilvl w:val="2"/>
          <w:numId w:val="38"/>
        </w:numPr>
        <w:tabs>
          <w:tab w:pos="1100" w:val="left" w:leader="none"/>
          <w:tab w:pos="1101" w:val="left" w:leader="none"/>
        </w:tabs>
        <w:spacing w:line="237" w:lineRule="auto" w:before="0" w:after="0"/>
        <w:ind w:left="1100" w:right="1100" w:hanging="821"/>
        <w:jc w:val="left"/>
        <w:rPr>
          <w:sz w:val="16"/>
        </w:rPr>
      </w:pPr>
      <w:r>
        <w:rPr>
          <w:sz w:val="24"/>
        </w:rPr>
        <w:t>A California licensed civil engineer shall certify (with a stamp and wet signature) that all hydrologic analyses, hydraulic calculations, and design standard(s) operation parameters comply with sections 1.1.4 and 1.3</w:t>
      </w:r>
      <w:r>
        <w:rPr>
          <w:spacing w:val="-11"/>
          <w:sz w:val="24"/>
        </w:rPr>
        <w:t> </w:t>
      </w:r>
      <w:r>
        <w:rPr>
          <w:sz w:val="24"/>
        </w:rPr>
        <w:t>below.</w:t>
      </w:r>
      <w:r>
        <w:rPr>
          <w:position w:val="8"/>
          <w:sz w:val="16"/>
        </w:rPr>
        <w:t>2</w:t>
      </w:r>
    </w:p>
    <w:p>
      <w:pPr>
        <w:pStyle w:val="ListParagraph"/>
        <w:numPr>
          <w:ilvl w:val="2"/>
          <w:numId w:val="38"/>
        </w:numPr>
        <w:tabs>
          <w:tab w:pos="1099" w:val="left" w:leader="none"/>
          <w:tab w:pos="1101" w:val="left" w:leader="none"/>
        </w:tabs>
        <w:spacing w:line="240" w:lineRule="auto" w:before="241" w:after="0"/>
        <w:ind w:left="1100" w:right="0" w:hanging="821"/>
        <w:jc w:val="left"/>
        <w:rPr>
          <w:sz w:val="24"/>
        </w:rPr>
      </w:pPr>
      <w:r>
        <w:rPr>
          <w:sz w:val="24"/>
        </w:rPr>
        <w:t>The BMPs implemented by the Discharger</w:t>
      </w:r>
      <w:r>
        <w:rPr>
          <w:spacing w:val="-3"/>
          <w:sz w:val="24"/>
        </w:rPr>
        <w:t> </w:t>
      </w:r>
      <w:r>
        <w:rPr>
          <w:sz w:val="24"/>
        </w:rPr>
        <w:t>shall:</w:t>
      </w:r>
    </w:p>
    <w:p>
      <w:pPr>
        <w:pStyle w:val="BodyText"/>
        <w:spacing w:before="10"/>
        <w:rPr>
          <w:sz w:val="20"/>
        </w:rPr>
      </w:pPr>
    </w:p>
    <w:p>
      <w:pPr>
        <w:pStyle w:val="ListParagraph"/>
        <w:numPr>
          <w:ilvl w:val="3"/>
          <w:numId w:val="38"/>
        </w:numPr>
        <w:tabs>
          <w:tab w:pos="1359" w:val="left" w:leader="none"/>
          <w:tab w:pos="1360" w:val="left" w:leader="none"/>
        </w:tabs>
        <w:spacing w:line="240" w:lineRule="auto" w:before="0" w:after="0"/>
        <w:ind w:left="1360" w:right="1174" w:hanging="1080"/>
        <w:jc w:val="left"/>
        <w:rPr>
          <w:sz w:val="24"/>
        </w:rPr>
      </w:pPr>
      <w:r>
        <w:rPr>
          <w:sz w:val="24"/>
        </w:rPr>
        <w:t>Maintain</w:t>
      </w:r>
      <w:r>
        <w:rPr>
          <w:spacing w:val="-6"/>
          <w:sz w:val="24"/>
        </w:rPr>
        <w:t> </w:t>
      </w:r>
      <w:r>
        <w:rPr>
          <w:sz w:val="24"/>
        </w:rPr>
        <w:t>the</w:t>
      </w:r>
      <w:r>
        <w:rPr>
          <w:spacing w:val="-6"/>
          <w:sz w:val="24"/>
        </w:rPr>
        <w:t> </w:t>
      </w:r>
      <w:r>
        <w:rPr>
          <w:sz w:val="24"/>
        </w:rPr>
        <w:t>effective</w:t>
      </w:r>
      <w:r>
        <w:rPr>
          <w:spacing w:val="-6"/>
          <w:sz w:val="24"/>
        </w:rPr>
        <w:t> </w:t>
      </w:r>
      <w:r>
        <w:rPr>
          <w:sz w:val="24"/>
        </w:rPr>
        <w:t>capacity</w:t>
      </w:r>
      <w:r>
        <w:rPr>
          <w:spacing w:val="-5"/>
          <w:sz w:val="24"/>
        </w:rPr>
        <w:t> </w:t>
      </w:r>
      <w:r>
        <w:rPr>
          <w:sz w:val="24"/>
        </w:rPr>
        <w:t>to</w:t>
      </w:r>
      <w:r>
        <w:rPr>
          <w:spacing w:val="-6"/>
          <w:sz w:val="24"/>
        </w:rPr>
        <w:t> </w:t>
      </w:r>
      <w:r>
        <w:rPr>
          <w:sz w:val="24"/>
        </w:rPr>
        <w:t>capture,</w:t>
      </w:r>
      <w:r>
        <w:rPr>
          <w:spacing w:val="-6"/>
          <w:sz w:val="24"/>
        </w:rPr>
        <w:t> </w:t>
      </w:r>
      <w:r>
        <w:rPr>
          <w:sz w:val="24"/>
        </w:rPr>
        <w:t>infiltrate</w:t>
      </w:r>
      <w:r>
        <w:rPr>
          <w:spacing w:val="-5"/>
          <w:sz w:val="24"/>
        </w:rPr>
        <w:t> </w:t>
      </w:r>
      <w:r>
        <w:rPr>
          <w:sz w:val="24"/>
        </w:rPr>
        <w:t>and/or</w:t>
      </w:r>
      <w:r>
        <w:rPr>
          <w:spacing w:val="-6"/>
          <w:sz w:val="24"/>
        </w:rPr>
        <w:t> </w:t>
      </w:r>
      <w:r>
        <w:rPr>
          <w:sz w:val="24"/>
        </w:rPr>
        <w:t>evapotranspire</w:t>
      </w:r>
      <w:r>
        <w:rPr>
          <w:spacing w:val="-6"/>
          <w:sz w:val="24"/>
        </w:rPr>
        <w:t> </w:t>
      </w:r>
      <w:r>
        <w:rPr>
          <w:sz w:val="24"/>
        </w:rPr>
        <w:t>the volume of runoff produced up to and during the 85th percentile</w:t>
      </w:r>
      <w:r>
        <w:rPr>
          <w:spacing w:val="-25"/>
          <w:sz w:val="24"/>
        </w:rPr>
        <w:t> </w:t>
      </w:r>
      <w:r>
        <w:rPr>
          <w:sz w:val="24"/>
        </w:rPr>
        <w:t>24-hour</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28"/>
        </w:rPr>
      </w:pPr>
      <w:r>
        <w:rPr/>
        <w:pict>
          <v:shape style="position:absolute;margin-left:72pt;margin-top:18.667152pt;width:144pt;height:.1pt;mso-position-horizontal-relative:page;mso-position-vertical-relative:paragraph;z-index:-251616256;mso-wrap-distance-left:0;mso-wrap-distance-right:0" coordorigin="1440,373" coordsize="2880,0" path="m1440,373l4320,373e" filled="false" stroked="true" strokeweight=".600010pt" strokecolor="#000000">
            <v:path arrowok="t"/>
            <v:stroke dashstyle="solid"/>
            <w10:wrap type="topAndBottom"/>
          </v:shape>
        </w:pict>
      </w:r>
    </w:p>
    <w:p>
      <w:pPr>
        <w:pStyle w:val="BodyText"/>
        <w:rPr>
          <w:sz w:val="20"/>
        </w:rPr>
      </w:pPr>
    </w:p>
    <w:p>
      <w:pPr>
        <w:pStyle w:val="BodyText"/>
        <w:spacing w:before="5"/>
        <w:rPr>
          <w:sz w:val="22"/>
        </w:rPr>
      </w:pPr>
    </w:p>
    <w:p>
      <w:pPr>
        <w:pStyle w:val="BodyText"/>
        <w:spacing w:before="95"/>
        <w:ind w:left="280"/>
      </w:pPr>
      <w:r>
        <w:rPr>
          <w:position w:val="8"/>
          <w:sz w:val="16"/>
        </w:rPr>
        <w:t>1 </w:t>
      </w:r>
      <w:r>
        <w:rPr/>
        <w:t>Including authorized NSWDs.</w:t>
      </w:r>
    </w:p>
    <w:p>
      <w:pPr>
        <w:pStyle w:val="BodyText"/>
        <w:spacing w:before="235"/>
        <w:ind w:left="280" w:right="1061"/>
      </w:pPr>
      <w:r>
        <w:rPr>
          <w:position w:val="8"/>
          <w:sz w:val="16"/>
        </w:rPr>
        <w:t>2 </w:t>
      </w:r>
      <w:r>
        <w:rPr/>
        <w:t>All professional engineering documents shall be certified (signed and sealed) in accordance with the requirements of the Professional Engineers Act and any other laws related to the practice of professional engineering and shall be signed and sealed in a manner such that all work can be clearly attributed to the licensee(s) in responsible charge of the work. California licensed professional engineers are not required to certify documents outside of the scope of the Professional Engineers Act and any other laws related to the practice of professional engineering.</w:t>
      </w:r>
    </w:p>
    <w:p>
      <w:pPr>
        <w:spacing w:after="0"/>
        <w:sectPr>
          <w:pgSz w:w="12240" w:h="15840"/>
          <w:pgMar w:header="728" w:footer="788" w:top="1540" w:bottom="980" w:left="1160" w:right="420"/>
        </w:sectPr>
      </w:pPr>
    </w:p>
    <w:p>
      <w:pPr>
        <w:pStyle w:val="BodyText"/>
        <w:spacing w:before="11"/>
        <w:rPr>
          <w:sz w:val="15"/>
        </w:rPr>
      </w:pPr>
    </w:p>
    <w:p>
      <w:pPr>
        <w:pStyle w:val="BodyText"/>
        <w:spacing w:line="235" w:lineRule="auto" w:before="97"/>
        <w:ind w:left="1360" w:right="1075"/>
        <w:rPr>
          <w:sz w:val="16"/>
        </w:rPr>
      </w:pPr>
      <w:r>
        <w:rPr/>
        <w:t>precipitation event based upon local, historical precipitation data and records, and</w:t>
      </w:r>
      <w:r>
        <w:rPr>
          <w:position w:val="8"/>
          <w:sz w:val="16"/>
        </w:rPr>
        <w:t>34</w:t>
      </w:r>
    </w:p>
    <w:p>
      <w:pPr>
        <w:pStyle w:val="ListParagraph"/>
        <w:numPr>
          <w:ilvl w:val="3"/>
          <w:numId w:val="38"/>
        </w:numPr>
        <w:tabs>
          <w:tab w:pos="1359" w:val="left" w:leader="none"/>
          <w:tab w:pos="1360" w:val="left" w:leader="none"/>
        </w:tabs>
        <w:spacing w:line="240" w:lineRule="auto" w:before="241" w:after="0"/>
        <w:ind w:left="1360" w:right="1334" w:hanging="1080"/>
        <w:jc w:val="left"/>
        <w:rPr>
          <w:sz w:val="24"/>
        </w:rPr>
      </w:pPr>
      <w:r>
        <w:rPr>
          <w:sz w:val="24"/>
        </w:rPr>
        <w:t>Be</w:t>
      </w:r>
      <w:r>
        <w:rPr>
          <w:spacing w:val="-6"/>
          <w:sz w:val="24"/>
        </w:rPr>
        <w:t> </w:t>
      </w:r>
      <w:r>
        <w:rPr>
          <w:sz w:val="24"/>
        </w:rPr>
        <w:t>designed</w:t>
      </w:r>
      <w:r>
        <w:rPr>
          <w:spacing w:val="-6"/>
          <w:sz w:val="24"/>
        </w:rPr>
        <w:t> </w:t>
      </w:r>
      <w:r>
        <w:rPr>
          <w:sz w:val="24"/>
        </w:rPr>
        <w:t>to</w:t>
      </w:r>
      <w:r>
        <w:rPr>
          <w:spacing w:val="-6"/>
          <w:sz w:val="24"/>
        </w:rPr>
        <w:t> </w:t>
      </w:r>
      <w:r>
        <w:rPr>
          <w:sz w:val="24"/>
        </w:rPr>
        <w:t>capture,</w:t>
      </w:r>
      <w:r>
        <w:rPr>
          <w:spacing w:val="-6"/>
          <w:sz w:val="24"/>
        </w:rPr>
        <w:t> </w:t>
      </w:r>
      <w:r>
        <w:rPr>
          <w:sz w:val="24"/>
        </w:rPr>
        <w:t>capture</w:t>
      </w:r>
      <w:r>
        <w:rPr>
          <w:spacing w:val="-7"/>
          <w:sz w:val="24"/>
        </w:rPr>
        <w:t> </w:t>
      </w:r>
      <w:r>
        <w:rPr>
          <w:sz w:val="24"/>
        </w:rPr>
        <w:t>and</w:t>
      </w:r>
      <w:r>
        <w:rPr>
          <w:spacing w:val="-6"/>
          <w:sz w:val="24"/>
        </w:rPr>
        <w:t> </w:t>
      </w:r>
      <w:r>
        <w:rPr>
          <w:sz w:val="24"/>
        </w:rPr>
        <w:t>divert,</w:t>
      </w:r>
      <w:r>
        <w:rPr>
          <w:spacing w:val="-7"/>
          <w:sz w:val="24"/>
        </w:rPr>
        <w:t> </w:t>
      </w:r>
      <w:r>
        <w:rPr>
          <w:sz w:val="24"/>
        </w:rPr>
        <w:t>infiltrate,</w:t>
      </w:r>
      <w:r>
        <w:rPr>
          <w:spacing w:val="-6"/>
          <w:sz w:val="24"/>
        </w:rPr>
        <w:t> </w:t>
      </w:r>
      <w:r>
        <w:rPr>
          <w:sz w:val="24"/>
        </w:rPr>
        <w:t>and/or</w:t>
      </w:r>
      <w:r>
        <w:rPr>
          <w:spacing w:val="-5"/>
          <w:sz w:val="24"/>
        </w:rPr>
        <w:t> </w:t>
      </w:r>
      <w:r>
        <w:rPr>
          <w:sz w:val="24"/>
        </w:rPr>
        <w:t>evapotranspire drainage from all impervious areas of the facility from stormwater and authorized NSWDs listed in section 5 of the</w:t>
      </w:r>
      <w:r>
        <w:rPr>
          <w:spacing w:val="-5"/>
          <w:sz w:val="24"/>
        </w:rPr>
        <w:t> </w:t>
      </w:r>
      <w:r>
        <w:rPr>
          <w:sz w:val="24"/>
        </w:rPr>
        <w:t>Order.</w:t>
      </w:r>
    </w:p>
    <w:p>
      <w:pPr>
        <w:pStyle w:val="BodyText"/>
        <w:spacing w:before="3"/>
        <w:rPr>
          <w:sz w:val="21"/>
        </w:rPr>
      </w:pPr>
    </w:p>
    <w:p>
      <w:pPr>
        <w:pStyle w:val="ListParagraph"/>
        <w:numPr>
          <w:ilvl w:val="3"/>
          <w:numId w:val="38"/>
        </w:numPr>
        <w:tabs>
          <w:tab w:pos="1359" w:val="left" w:leader="none"/>
          <w:tab w:pos="1360" w:val="left" w:leader="none"/>
        </w:tabs>
        <w:spacing w:line="235" w:lineRule="auto" w:before="0" w:after="0"/>
        <w:ind w:left="1359" w:right="1201" w:hanging="1080"/>
        <w:jc w:val="left"/>
        <w:rPr>
          <w:sz w:val="24"/>
        </w:rPr>
      </w:pPr>
      <w:r>
        <w:rPr>
          <w:sz w:val="24"/>
        </w:rPr>
        <w:t>Be designed by a California licensed civil engineer with a 24-hour</w:t>
      </w:r>
      <w:r>
        <w:rPr>
          <w:spacing w:val="-47"/>
          <w:sz w:val="24"/>
        </w:rPr>
        <w:t> </w:t>
      </w:r>
      <w:r>
        <w:rPr>
          <w:sz w:val="24"/>
        </w:rPr>
        <w:t>drawdown time</w:t>
      </w:r>
      <w:r>
        <w:rPr>
          <w:position w:val="8"/>
          <w:sz w:val="16"/>
        </w:rPr>
        <w:t>5 </w:t>
      </w:r>
      <w:r>
        <w:rPr>
          <w:sz w:val="24"/>
        </w:rPr>
        <w:t>or with additional storage volume beyond the compliance storm standard to offset longer drawdown</w:t>
      </w:r>
      <w:r>
        <w:rPr>
          <w:spacing w:val="-3"/>
          <w:sz w:val="24"/>
        </w:rPr>
        <w:t> </w:t>
      </w:r>
      <w:r>
        <w:rPr>
          <w:sz w:val="24"/>
        </w:rPr>
        <w:t>time</w:t>
      </w:r>
      <w:r>
        <w:rPr>
          <w:position w:val="8"/>
          <w:sz w:val="16"/>
        </w:rPr>
        <w:t>6</w:t>
      </w:r>
      <w:r>
        <w:rPr>
          <w:sz w:val="24"/>
        </w:rPr>
        <w:t>.</w:t>
      </w:r>
    </w:p>
    <w:p>
      <w:pPr>
        <w:pStyle w:val="ListParagraph"/>
        <w:numPr>
          <w:ilvl w:val="3"/>
          <w:numId w:val="38"/>
        </w:numPr>
        <w:tabs>
          <w:tab w:pos="1359" w:val="left" w:leader="none"/>
          <w:tab w:pos="1360" w:val="left" w:leader="none"/>
        </w:tabs>
        <w:spacing w:line="240" w:lineRule="auto" w:before="243" w:after="0"/>
        <w:ind w:left="1360" w:right="1092" w:hanging="1080"/>
        <w:jc w:val="left"/>
        <w:rPr>
          <w:sz w:val="24"/>
        </w:rPr>
      </w:pPr>
      <w:r>
        <w:rPr>
          <w:sz w:val="24"/>
        </w:rPr>
        <w:t>The Discharger shall implement measures to ensure the design standards for the life of the BMP(s) are maintained, and as appropriate, include reliability and safety factor</w:t>
      </w:r>
      <w:r>
        <w:rPr>
          <w:spacing w:val="-1"/>
          <w:sz w:val="24"/>
        </w:rPr>
        <w:t> </w:t>
      </w:r>
      <w:r>
        <w:rPr>
          <w:sz w:val="24"/>
        </w:rPr>
        <w:t>calculations.</w:t>
      </w:r>
    </w:p>
    <w:p>
      <w:pPr>
        <w:pStyle w:val="BodyText"/>
        <w:rPr>
          <w:sz w:val="21"/>
        </w:rPr>
      </w:pPr>
    </w:p>
    <w:p>
      <w:pPr>
        <w:pStyle w:val="ListParagraph"/>
        <w:numPr>
          <w:ilvl w:val="3"/>
          <w:numId w:val="38"/>
        </w:numPr>
        <w:tabs>
          <w:tab w:pos="1359" w:val="left" w:leader="none"/>
          <w:tab w:pos="1360" w:val="left" w:leader="none"/>
        </w:tabs>
        <w:spacing w:line="237" w:lineRule="auto" w:before="1" w:after="0"/>
        <w:ind w:left="1360" w:right="1113" w:hanging="1080"/>
        <w:jc w:val="left"/>
        <w:rPr>
          <w:sz w:val="24"/>
        </w:rPr>
      </w:pPr>
      <w:r>
        <w:rPr>
          <w:sz w:val="24"/>
        </w:rPr>
        <w:t>A Discharger implementing infiltration BMP(s) shall include a shutoff mechanism</w:t>
      </w:r>
      <w:r>
        <w:rPr>
          <w:position w:val="8"/>
          <w:sz w:val="16"/>
        </w:rPr>
        <w:t>6 </w:t>
      </w:r>
      <w:r>
        <w:rPr>
          <w:sz w:val="24"/>
        </w:rPr>
        <w:t>(e.g., a valve that diverts discharge from entering the BMP(s)) in the design and implementation of infiltration</w:t>
      </w:r>
      <w:r>
        <w:rPr>
          <w:spacing w:val="-4"/>
          <w:sz w:val="24"/>
        </w:rPr>
        <w:t> </w:t>
      </w:r>
      <w:r>
        <w:rPr>
          <w:sz w:val="24"/>
        </w:rPr>
        <w:t>BMP(s).</w:t>
      </w:r>
    </w:p>
    <w:p>
      <w:pPr>
        <w:pStyle w:val="BodyText"/>
        <w:spacing w:before="10"/>
        <w:rPr>
          <w:sz w:val="20"/>
        </w:rPr>
      </w:pPr>
    </w:p>
    <w:p>
      <w:pPr>
        <w:pStyle w:val="ListParagraph"/>
        <w:numPr>
          <w:ilvl w:val="3"/>
          <w:numId w:val="38"/>
        </w:numPr>
        <w:tabs>
          <w:tab w:pos="1359" w:val="left" w:leader="none"/>
          <w:tab w:pos="1360" w:val="left" w:leader="none"/>
        </w:tabs>
        <w:spacing w:line="240" w:lineRule="auto" w:before="1" w:after="0"/>
        <w:ind w:left="1360" w:right="1200" w:hanging="1080"/>
        <w:jc w:val="left"/>
        <w:rPr>
          <w:sz w:val="24"/>
        </w:rPr>
      </w:pPr>
      <w:r>
        <w:rPr>
          <w:sz w:val="24"/>
        </w:rPr>
        <w:t>The Discharger implementing infiltration BMP(s) shall address possible groundwater contamination from the BMP(s) operation by using one or more of the following</w:t>
      </w:r>
      <w:r>
        <w:rPr>
          <w:spacing w:val="-2"/>
          <w:sz w:val="24"/>
        </w:rPr>
        <w:t> </w:t>
      </w:r>
      <w:r>
        <w:rPr>
          <w:sz w:val="24"/>
        </w:rPr>
        <w:t>methods:</w:t>
      </w:r>
    </w:p>
    <w:p>
      <w:pPr>
        <w:pStyle w:val="BodyText"/>
        <w:spacing w:before="5"/>
        <w:rPr>
          <w:sz w:val="20"/>
        </w:rPr>
      </w:pPr>
    </w:p>
    <w:p>
      <w:pPr>
        <w:pStyle w:val="ListParagraph"/>
        <w:numPr>
          <w:ilvl w:val="4"/>
          <w:numId w:val="38"/>
        </w:numPr>
        <w:tabs>
          <w:tab w:pos="1574" w:val="left" w:leader="none"/>
          <w:tab w:pos="1576" w:val="left" w:leader="none"/>
        </w:tabs>
        <w:spacing w:line="240" w:lineRule="auto" w:before="0" w:after="0"/>
        <w:ind w:left="1576" w:right="1082" w:hanging="1296"/>
        <w:jc w:val="left"/>
        <w:rPr>
          <w:sz w:val="24"/>
        </w:rPr>
      </w:pPr>
      <w:r>
        <w:rPr>
          <w:sz w:val="24"/>
        </w:rPr>
        <w:t>The Discharger shall ensure that all influent</w:t>
      </w:r>
      <w:r>
        <w:rPr>
          <w:position w:val="8"/>
          <w:sz w:val="16"/>
        </w:rPr>
        <w:t>7 </w:t>
      </w:r>
      <w:r>
        <w:rPr>
          <w:sz w:val="24"/>
        </w:rPr>
        <w:t>entering the infiltration BMP(s) meets applicable Maximum Contaminant Level (MCL) criteria for</w:t>
      </w:r>
      <w:r>
        <w:rPr>
          <w:spacing w:val="-11"/>
          <w:sz w:val="24"/>
        </w:rPr>
        <w:t> </w:t>
      </w:r>
      <w:r>
        <w:rPr>
          <w:sz w:val="24"/>
        </w:rPr>
        <w:t>CII</w:t>
      </w:r>
    </w:p>
    <w:p>
      <w:pPr>
        <w:pStyle w:val="BodyText"/>
        <w:rPr>
          <w:sz w:val="20"/>
        </w:rPr>
      </w:pPr>
    </w:p>
    <w:p>
      <w:pPr>
        <w:pStyle w:val="BodyText"/>
        <w:rPr>
          <w:sz w:val="20"/>
        </w:rPr>
      </w:pPr>
    </w:p>
    <w:p>
      <w:pPr>
        <w:pStyle w:val="BodyText"/>
        <w:rPr>
          <w:sz w:val="20"/>
        </w:rPr>
      </w:pPr>
    </w:p>
    <w:p>
      <w:pPr>
        <w:pStyle w:val="BodyText"/>
        <w:spacing w:before="8"/>
        <w:rPr>
          <w:sz w:val="10"/>
        </w:rPr>
      </w:pPr>
      <w:r>
        <w:rPr/>
        <w:pict>
          <v:shape style="position:absolute;margin-left:72pt;margin-top:8.445571pt;width:144pt;height:.1pt;mso-position-horizontal-relative:page;mso-position-vertical-relative:paragraph;z-index:-251615232;mso-wrap-distance-left:0;mso-wrap-distance-right:0" coordorigin="1440,169" coordsize="2880,0" path="m1440,169l4320,169e" filled="false" stroked="true" strokeweight=".600010pt" strokecolor="#000000">
            <v:path arrowok="t"/>
            <v:stroke dashstyle="solid"/>
            <w10:wrap type="topAndBottom"/>
          </v:shape>
        </w:pict>
      </w:r>
    </w:p>
    <w:p>
      <w:pPr>
        <w:pStyle w:val="BodyText"/>
        <w:rPr>
          <w:sz w:val="20"/>
        </w:rPr>
      </w:pPr>
    </w:p>
    <w:p>
      <w:pPr>
        <w:pStyle w:val="BodyText"/>
        <w:spacing w:before="6"/>
        <w:rPr>
          <w:sz w:val="22"/>
        </w:rPr>
      </w:pPr>
    </w:p>
    <w:p>
      <w:pPr>
        <w:spacing w:before="95"/>
        <w:ind w:left="279" w:right="1114" w:firstLine="0"/>
        <w:jc w:val="left"/>
        <w:rPr>
          <w:sz w:val="20"/>
        </w:rPr>
      </w:pPr>
      <w:r>
        <w:rPr>
          <w:position w:val="7"/>
          <w:sz w:val="13"/>
        </w:rPr>
        <w:t>3 </w:t>
      </w:r>
      <w:r>
        <w:rPr>
          <w:sz w:val="20"/>
        </w:rPr>
        <w:t>Runoff volume shall be calculated using the Straight Calc method consistent with the onsite compliance option in the IGP (Order 2014-0057-DWQ amended by Order 2015-0122-DWQ &amp; Order 20XX-XXXX- DWQ)</w:t>
      </w:r>
    </w:p>
    <w:p>
      <w:pPr>
        <w:pStyle w:val="BodyText"/>
        <w:ind w:left="280" w:right="1328"/>
      </w:pPr>
      <w:r>
        <w:rPr>
          <w:position w:val="8"/>
          <w:sz w:val="16"/>
        </w:rPr>
        <w:t>4 </w:t>
      </w:r>
      <w:r>
        <w:rPr/>
        <w:t>Precipitation data shall be collected from the National Oceanic and Atmospheric Agency’s website (or other nearby precipitation data available from other government agencies).</w:t>
      </w:r>
    </w:p>
    <w:p>
      <w:pPr>
        <w:pStyle w:val="BodyText"/>
        <w:spacing w:before="230"/>
        <w:ind w:left="280" w:right="1208"/>
      </w:pPr>
      <w:r>
        <w:rPr>
          <w:position w:val="8"/>
          <w:sz w:val="16"/>
        </w:rPr>
        <w:t>5 </w:t>
      </w:r>
      <w:r>
        <w:rPr/>
        <w:t>The design standard(s) must drain from full to empty when no inflows are occurring, considering any relevant safety factor included by the California licensed civil engineer</w:t>
      </w:r>
    </w:p>
    <w:p>
      <w:pPr>
        <w:pStyle w:val="BodyText"/>
        <w:spacing w:before="5"/>
        <w:rPr>
          <w:sz w:val="20"/>
        </w:rPr>
      </w:pPr>
    </w:p>
    <w:p>
      <w:pPr>
        <w:pStyle w:val="BodyText"/>
        <w:ind w:left="280" w:right="1035"/>
      </w:pPr>
      <w:r>
        <w:rPr>
          <w:position w:val="8"/>
          <w:sz w:val="16"/>
        </w:rPr>
        <w:t>6 </w:t>
      </w:r>
      <w:r>
        <w:rPr/>
        <w:t>If including a shutoff mechanism is infeasible for the BMP(s), appropriate spill prevention and response, and training shall be implemented.</w:t>
      </w:r>
    </w:p>
    <w:p>
      <w:pPr>
        <w:pStyle w:val="BodyText"/>
        <w:spacing w:before="5"/>
        <w:rPr>
          <w:sz w:val="20"/>
        </w:rPr>
      </w:pPr>
    </w:p>
    <w:p>
      <w:pPr>
        <w:pStyle w:val="BodyText"/>
        <w:ind w:left="280" w:right="1018"/>
      </w:pPr>
      <w:r>
        <w:rPr>
          <w:position w:val="8"/>
          <w:sz w:val="16"/>
        </w:rPr>
        <w:t>7 </w:t>
      </w:r>
      <w:r>
        <w:rPr/>
        <w:t>For the purposes of this Compliance Option, “influent” means stormwater or authorized NSWDs (as specified in section 5 of the Order) flowing into a reservoir, basin, or treatment control.</w:t>
      </w:r>
    </w:p>
    <w:p>
      <w:pPr>
        <w:spacing w:after="0"/>
        <w:sectPr>
          <w:pgSz w:w="12240" w:h="15840"/>
          <w:pgMar w:header="728" w:footer="788" w:top="1540" w:bottom="980" w:left="1160" w:right="420"/>
        </w:sectPr>
      </w:pPr>
    </w:p>
    <w:p>
      <w:pPr>
        <w:pStyle w:val="BodyText"/>
        <w:spacing w:before="11"/>
        <w:rPr>
          <w:sz w:val="15"/>
        </w:rPr>
      </w:pPr>
    </w:p>
    <w:p>
      <w:pPr>
        <w:pStyle w:val="BodyText"/>
        <w:spacing w:before="92"/>
        <w:ind w:left="1576" w:right="365"/>
      </w:pPr>
      <w:r>
        <w:rPr/>
        <w:t>pollutants at the facility. If the influent concentrations do not meet applicable MCLs, the Discharger shall have a California licensed civil engineer:</w:t>
      </w:r>
    </w:p>
    <w:p>
      <w:pPr>
        <w:pStyle w:val="BodyText"/>
        <w:spacing w:before="10"/>
        <w:rPr>
          <w:sz w:val="20"/>
        </w:rPr>
      </w:pPr>
    </w:p>
    <w:p>
      <w:pPr>
        <w:pStyle w:val="ListParagraph"/>
        <w:numPr>
          <w:ilvl w:val="5"/>
          <w:numId w:val="38"/>
        </w:numPr>
        <w:tabs>
          <w:tab w:pos="1790" w:val="left" w:leader="none"/>
          <w:tab w:pos="1791" w:val="left" w:leader="none"/>
        </w:tabs>
        <w:spacing w:line="240" w:lineRule="auto" w:before="0" w:after="0"/>
        <w:ind w:left="1792" w:right="1050" w:hanging="1512"/>
        <w:jc w:val="left"/>
        <w:rPr>
          <w:sz w:val="24"/>
        </w:rPr>
      </w:pPr>
      <w:r>
        <w:rPr>
          <w:sz w:val="24"/>
        </w:rPr>
        <w:t>Recommend and oversee the installation of the necessary pretreatment controls during the design of the infiltration design standard(s) to ensure all the pollutants in the influent of the infiltration BMP(s) meet MCL</w:t>
      </w:r>
      <w:r>
        <w:rPr>
          <w:spacing w:val="-30"/>
          <w:sz w:val="24"/>
        </w:rPr>
        <w:t> </w:t>
      </w:r>
      <w:r>
        <w:rPr>
          <w:sz w:val="24"/>
        </w:rPr>
        <w:t>criteria and include maintenance of all pretreatment controls in the operation and maintenance plan required in section 1.4.1.2 below;</w:t>
      </w:r>
      <w:r>
        <w:rPr>
          <w:spacing w:val="-7"/>
          <w:sz w:val="24"/>
        </w:rPr>
        <w:t> </w:t>
      </w:r>
      <w:r>
        <w:rPr>
          <w:sz w:val="24"/>
        </w:rPr>
        <w:t>or</w:t>
      </w:r>
    </w:p>
    <w:p>
      <w:pPr>
        <w:pStyle w:val="BodyText"/>
        <w:spacing w:before="10"/>
        <w:rPr>
          <w:sz w:val="20"/>
        </w:rPr>
      </w:pPr>
    </w:p>
    <w:p>
      <w:pPr>
        <w:pStyle w:val="ListParagraph"/>
        <w:numPr>
          <w:ilvl w:val="5"/>
          <w:numId w:val="38"/>
        </w:numPr>
        <w:tabs>
          <w:tab w:pos="1789" w:val="left" w:leader="none"/>
          <w:tab w:pos="1791" w:val="left" w:leader="none"/>
        </w:tabs>
        <w:spacing w:line="240" w:lineRule="auto" w:before="0" w:after="0"/>
        <w:ind w:left="1792" w:right="1034" w:hanging="1512"/>
        <w:jc w:val="left"/>
        <w:rPr>
          <w:sz w:val="24"/>
        </w:rPr>
      </w:pPr>
      <w:r>
        <w:rPr>
          <w:sz w:val="24"/>
        </w:rPr>
        <w:t>Install monitoring devices (including, but not limited to, lysimeters) to collect monthly samples of the infiltrated water below the infiltration BMP(s) demonstrate compliance with MCLs for pollutants associated with CII activities in the influent of the infiltration BMP(s). The Discharger shall maintain proper calibration of the installed monitoring device(s). The monthly samples are only required when feasible sampling conditions exist (including, but not limited to, enough moisture in the monitoring device to collect a sample). When monthly samples are not collected, the Discharger shall document this information in an attachment to the annual report and update the Stormwater Pollution Prevention Plan if</w:t>
      </w:r>
      <w:r>
        <w:rPr>
          <w:spacing w:val="-43"/>
          <w:sz w:val="24"/>
        </w:rPr>
        <w:t> </w:t>
      </w:r>
      <w:r>
        <w:rPr>
          <w:sz w:val="24"/>
        </w:rPr>
        <w:t>necessary.</w:t>
      </w:r>
    </w:p>
    <w:p>
      <w:pPr>
        <w:pStyle w:val="BodyText"/>
        <w:spacing w:before="11"/>
        <w:rPr>
          <w:sz w:val="20"/>
        </w:rPr>
      </w:pPr>
    </w:p>
    <w:p>
      <w:pPr>
        <w:pStyle w:val="ListParagraph"/>
        <w:numPr>
          <w:ilvl w:val="4"/>
          <w:numId w:val="38"/>
        </w:numPr>
        <w:tabs>
          <w:tab w:pos="1574" w:val="left" w:leader="none"/>
          <w:tab w:pos="1575" w:val="left" w:leader="none"/>
        </w:tabs>
        <w:spacing w:line="240" w:lineRule="auto" w:before="0" w:after="0"/>
        <w:ind w:left="1576" w:right="1226" w:hanging="1296"/>
        <w:jc w:val="left"/>
        <w:rPr>
          <w:sz w:val="24"/>
        </w:rPr>
      </w:pPr>
      <w:r>
        <w:rPr>
          <w:sz w:val="24"/>
        </w:rPr>
        <w:t>The Discharger installing and operating stormwater capture and infiltration dry wells shall comply with the requirements in section 1.1.4.6.1.1 above and are not eligible to install monitoring devices in lieu of the pretreatment requirements.</w:t>
      </w:r>
    </w:p>
    <w:p>
      <w:pPr>
        <w:pStyle w:val="BodyText"/>
        <w:spacing w:before="11"/>
        <w:rPr>
          <w:sz w:val="20"/>
        </w:rPr>
      </w:pPr>
    </w:p>
    <w:p>
      <w:pPr>
        <w:pStyle w:val="ListParagraph"/>
        <w:numPr>
          <w:ilvl w:val="4"/>
          <w:numId w:val="38"/>
        </w:numPr>
        <w:tabs>
          <w:tab w:pos="1575" w:val="left" w:leader="none"/>
          <w:tab w:pos="1576" w:val="left" w:leader="none"/>
        </w:tabs>
        <w:spacing w:line="237" w:lineRule="auto" w:before="0" w:after="0"/>
        <w:ind w:left="1575" w:right="1031" w:hanging="1296"/>
        <w:jc w:val="left"/>
        <w:rPr>
          <w:sz w:val="24"/>
        </w:rPr>
      </w:pPr>
      <w:r>
        <w:rPr>
          <w:sz w:val="24"/>
        </w:rPr>
        <w:t>For influent not meeting MCLs, the Discharger shall pretreat the infiltration BMP(s) influent</w:t>
      </w:r>
      <w:r>
        <w:rPr>
          <w:position w:val="8"/>
          <w:sz w:val="16"/>
        </w:rPr>
        <w:t>8 </w:t>
      </w:r>
      <w:r>
        <w:rPr>
          <w:sz w:val="24"/>
        </w:rPr>
        <w:t>to comply with the State Water Board’s Division of Drinking Water MCLs referenced in Table I-1</w:t>
      </w:r>
      <w:r>
        <w:rPr>
          <w:spacing w:val="-2"/>
          <w:sz w:val="24"/>
        </w:rPr>
        <w:t> </w:t>
      </w:r>
      <w:r>
        <w:rPr>
          <w:sz w:val="24"/>
        </w:rPr>
        <w:t>below.</w:t>
      </w:r>
    </w:p>
    <w:p>
      <w:pPr>
        <w:pStyle w:val="BodyText"/>
        <w:spacing w:before="11"/>
        <w:rPr>
          <w:sz w:val="20"/>
        </w:rPr>
      </w:pPr>
    </w:p>
    <w:p>
      <w:pPr>
        <w:pStyle w:val="Heading1"/>
        <w:ind w:left="279"/>
      </w:pPr>
      <w:r>
        <w:rPr/>
        <w:t>Table I-1. Applicable Constituents with Primary or Secondary MCLs</w:t>
      </w:r>
    </w:p>
    <w:tbl>
      <w:tblPr>
        <w:tblW w:w="0" w:type="auto"/>
        <w:jc w:val="left"/>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05"/>
        <w:gridCol w:w="5845"/>
      </w:tblGrid>
      <w:tr>
        <w:trPr>
          <w:trHeight w:val="436" w:hRule="atLeast"/>
        </w:trPr>
        <w:tc>
          <w:tcPr>
            <w:tcW w:w="3505" w:type="dxa"/>
            <w:shd w:val="clear" w:color="auto" w:fill="D9D9D9"/>
          </w:tcPr>
          <w:p>
            <w:pPr>
              <w:pStyle w:val="TableParagraph"/>
              <w:spacing w:before="82"/>
              <w:ind w:left="611"/>
              <w:jc w:val="left"/>
              <w:rPr>
                <w:b/>
                <w:sz w:val="24"/>
              </w:rPr>
            </w:pPr>
            <w:r>
              <w:rPr>
                <w:b/>
                <w:sz w:val="24"/>
              </w:rPr>
              <w:t>Parameter Category</w:t>
            </w:r>
          </w:p>
        </w:tc>
        <w:tc>
          <w:tcPr>
            <w:tcW w:w="5845" w:type="dxa"/>
            <w:shd w:val="clear" w:color="auto" w:fill="D9D9D9"/>
          </w:tcPr>
          <w:p>
            <w:pPr>
              <w:pStyle w:val="TableParagraph"/>
              <w:spacing w:before="82"/>
              <w:ind w:left="112" w:right="102"/>
              <w:rPr>
                <w:b/>
                <w:sz w:val="24"/>
              </w:rPr>
            </w:pPr>
            <w:r>
              <w:rPr>
                <w:b/>
                <w:sz w:val="24"/>
              </w:rPr>
              <w:t>MCL Criteria for CII Pollutant Pretreatment</w:t>
            </w:r>
          </w:p>
        </w:tc>
      </w:tr>
      <w:tr>
        <w:trPr>
          <w:trHeight w:val="1264" w:hRule="atLeast"/>
        </w:trPr>
        <w:tc>
          <w:tcPr>
            <w:tcW w:w="3505" w:type="dxa"/>
          </w:tcPr>
          <w:p>
            <w:pPr>
              <w:pStyle w:val="TableParagraph"/>
              <w:spacing w:before="41"/>
              <w:ind w:left="958"/>
              <w:jc w:val="left"/>
              <w:rPr>
                <w:sz w:val="24"/>
              </w:rPr>
            </w:pPr>
            <w:r>
              <w:rPr>
                <w:sz w:val="24"/>
              </w:rPr>
              <w:t>Primary MCLs:</w:t>
            </w:r>
          </w:p>
          <w:p>
            <w:pPr>
              <w:pStyle w:val="TableParagraph"/>
              <w:numPr>
                <w:ilvl w:val="0"/>
                <w:numId w:val="39"/>
              </w:numPr>
              <w:tabs>
                <w:tab w:pos="449" w:val="left" w:leader="none"/>
              </w:tabs>
              <w:spacing w:line="240" w:lineRule="auto" w:before="39" w:after="0"/>
              <w:ind w:left="448" w:right="0" w:hanging="152"/>
              <w:jc w:val="left"/>
              <w:rPr>
                <w:sz w:val="24"/>
              </w:rPr>
            </w:pPr>
            <w:r>
              <w:rPr>
                <w:sz w:val="24"/>
              </w:rPr>
              <w:t>Primary MCLs:</w:t>
            </w:r>
            <w:r>
              <w:rPr>
                <w:spacing w:val="-4"/>
                <w:sz w:val="24"/>
              </w:rPr>
              <w:t> </w:t>
            </w:r>
            <w:r>
              <w:rPr>
                <w:sz w:val="24"/>
              </w:rPr>
              <w:t>Inorganics</w:t>
            </w:r>
          </w:p>
          <w:p>
            <w:pPr>
              <w:pStyle w:val="TableParagraph"/>
              <w:numPr>
                <w:ilvl w:val="1"/>
                <w:numId w:val="39"/>
              </w:numPr>
              <w:tabs>
                <w:tab w:pos="608" w:val="left" w:leader="none"/>
              </w:tabs>
              <w:spacing w:line="240" w:lineRule="auto" w:before="40" w:after="0"/>
              <w:ind w:left="471" w:right="445" w:hanging="15"/>
              <w:jc w:val="left"/>
              <w:rPr>
                <w:sz w:val="24"/>
              </w:rPr>
            </w:pPr>
            <w:r>
              <w:rPr>
                <w:sz w:val="24"/>
              </w:rPr>
              <w:t>Primary MCLs: Volatile Organic Carbon</w:t>
            </w:r>
            <w:r>
              <w:rPr>
                <w:spacing w:val="-10"/>
                <w:sz w:val="24"/>
              </w:rPr>
              <w:t> </w:t>
            </w:r>
            <w:r>
              <w:rPr>
                <w:sz w:val="24"/>
              </w:rPr>
              <w:t>(VOCs)</w:t>
            </w:r>
          </w:p>
        </w:tc>
        <w:tc>
          <w:tcPr>
            <w:tcW w:w="5845" w:type="dxa"/>
          </w:tcPr>
          <w:p>
            <w:pPr>
              <w:pStyle w:val="TableParagraph"/>
              <w:jc w:val="left"/>
              <w:rPr>
                <w:b/>
                <w:sz w:val="18"/>
              </w:rPr>
            </w:pPr>
          </w:p>
          <w:p>
            <w:pPr>
              <w:pStyle w:val="TableParagraph"/>
              <w:spacing w:before="7"/>
              <w:jc w:val="left"/>
              <w:rPr>
                <w:b/>
                <w:sz w:val="24"/>
              </w:rPr>
            </w:pPr>
          </w:p>
          <w:p>
            <w:pPr>
              <w:pStyle w:val="TableParagraph"/>
              <w:ind w:left="8"/>
              <w:rPr>
                <w:sz w:val="16"/>
              </w:rPr>
            </w:pPr>
            <w:r>
              <w:rPr>
                <w:w w:val="99"/>
                <w:sz w:val="16"/>
              </w:rPr>
              <w:t>9</w:t>
            </w:r>
          </w:p>
        </w:tc>
      </w:tr>
    </w:tbl>
    <w:p>
      <w:pPr>
        <w:pStyle w:val="BodyText"/>
        <w:rPr>
          <w:b/>
          <w:sz w:val="20"/>
        </w:rPr>
      </w:pPr>
    </w:p>
    <w:p>
      <w:pPr>
        <w:pStyle w:val="BodyText"/>
        <w:rPr>
          <w:b/>
          <w:sz w:val="23"/>
        </w:rPr>
      </w:pPr>
      <w:r>
        <w:rPr/>
        <w:pict>
          <v:shape style="position:absolute;margin-left:72pt;margin-top:15.493863pt;width:144pt;height:.1pt;mso-position-horizontal-relative:page;mso-position-vertical-relative:paragraph;z-index:-251614208;mso-wrap-distance-left:0;mso-wrap-distance-right:0" coordorigin="1440,310" coordsize="2880,0" path="m1440,310l4320,310e" filled="false" stroked="true" strokeweight=".59999pt" strokecolor="#000000">
            <v:path arrowok="t"/>
            <v:stroke dashstyle="solid"/>
            <w10:wrap type="topAndBottom"/>
          </v:shape>
        </w:pict>
      </w:r>
    </w:p>
    <w:p>
      <w:pPr>
        <w:pStyle w:val="BodyText"/>
        <w:rPr>
          <w:b/>
          <w:sz w:val="26"/>
        </w:rPr>
      </w:pPr>
    </w:p>
    <w:p>
      <w:pPr>
        <w:pStyle w:val="BodyText"/>
        <w:spacing w:before="8"/>
        <w:rPr>
          <w:b/>
        </w:rPr>
      </w:pPr>
    </w:p>
    <w:p>
      <w:pPr>
        <w:pStyle w:val="BodyText"/>
        <w:ind w:left="279" w:right="1836"/>
      </w:pPr>
      <w:r>
        <w:rPr>
          <w:position w:val="8"/>
          <w:sz w:val="16"/>
        </w:rPr>
        <w:t>8 </w:t>
      </w:r>
      <w:r>
        <w:rPr/>
        <w:t>“Maximum Contaminant Level” means the maximum permissible level of a contaminant in water. Title 23 of the California Code of Regulations, State Water Resources Control Board’s Division of Drinking Water.</w:t>
      </w:r>
    </w:p>
    <w:p>
      <w:pPr>
        <w:pStyle w:val="BodyText"/>
        <w:spacing w:before="5"/>
        <w:rPr>
          <w:sz w:val="20"/>
        </w:rPr>
      </w:pPr>
    </w:p>
    <w:p>
      <w:pPr>
        <w:pStyle w:val="BodyText"/>
        <w:ind w:left="280"/>
      </w:pPr>
      <w:r>
        <w:rPr>
          <w:position w:val="8"/>
          <w:sz w:val="16"/>
        </w:rPr>
        <w:t>9 </w:t>
      </w:r>
      <w:hyperlink r:id="rId78">
        <w:r>
          <w:rPr/>
          <w:t>https://www.waterboards.ca.gov/drinking</w:t>
        </w:r>
      </w:hyperlink>
      <w:r>
        <w:rPr/>
        <w:t>_</w:t>
      </w:r>
      <w:hyperlink r:id="rId78">
        <w:r>
          <w:rPr/>
          <w:t>water/certlic/drinking</w:t>
        </w:r>
      </w:hyperlink>
      <w:r>
        <w:rPr/>
        <w:t>wat</w:t>
      </w:r>
      <w:hyperlink r:id="rId78">
        <w:r>
          <w:rPr/>
          <w:t>er/Lawbook.html</w:t>
        </w:r>
      </w:hyperlink>
    </w:p>
    <w:p>
      <w:pPr>
        <w:spacing w:after="0"/>
        <w:sectPr>
          <w:pgSz w:w="12240" w:h="15840"/>
          <w:pgMar w:header="728" w:footer="788" w:top="1540" w:bottom="980" w:left="1160" w:right="420"/>
        </w:sectPr>
      </w:pPr>
    </w:p>
    <w:p>
      <w:pPr>
        <w:pStyle w:val="BodyText"/>
        <w:spacing w:before="11"/>
        <w:rPr>
          <w:sz w:val="23"/>
        </w:rPr>
      </w:pPr>
    </w:p>
    <w:tbl>
      <w:tblPr>
        <w:tblW w:w="0" w:type="auto"/>
        <w:jc w:val="left"/>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05"/>
        <w:gridCol w:w="5845"/>
      </w:tblGrid>
      <w:tr>
        <w:trPr>
          <w:trHeight w:val="436" w:hRule="atLeast"/>
        </w:trPr>
        <w:tc>
          <w:tcPr>
            <w:tcW w:w="3505" w:type="dxa"/>
            <w:shd w:val="clear" w:color="auto" w:fill="D9D9D9"/>
          </w:tcPr>
          <w:p>
            <w:pPr>
              <w:pStyle w:val="TableParagraph"/>
              <w:spacing w:before="80"/>
              <w:ind w:left="296" w:right="289"/>
              <w:rPr>
                <w:b/>
                <w:sz w:val="24"/>
              </w:rPr>
            </w:pPr>
            <w:r>
              <w:rPr>
                <w:b/>
                <w:sz w:val="24"/>
              </w:rPr>
              <w:t>Parameter Category</w:t>
            </w:r>
          </w:p>
        </w:tc>
        <w:tc>
          <w:tcPr>
            <w:tcW w:w="5845" w:type="dxa"/>
            <w:shd w:val="clear" w:color="auto" w:fill="D9D9D9"/>
          </w:tcPr>
          <w:p>
            <w:pPr>
              <w:pStyle w:val="TableParagraph"/>
              <w:spacing w:before="80"/>
              <w:ind w:left="508"/>
              <w:jc w:val="left"/>
              <w:rPr>
                <w:b/>
                <w:sz w:val="24"/>
              </w:rPr>
            </w:pPr>
            <w:r>
              <w:rPr>
                <w:b/>
                <w:sz w:val="24"/>
              </w:rPr>
              <w:t>MCL Criteria for CII Pollutant Pretreatment</w:t>
            </w:r>
          </w:p>
        </w:tc>
      </w:tr>
      <w:tr>
        <w:trPr>
          <w:trHeight w:val="1182" w:hRule="atLeast"/>
        </w:trPr>
        <w:tc>
          <w:tcPr>
            <w:tcW w:w="3505" w:type="dxa"/>
          </w:tcPr>
          <w:p>
            <w:pPr>
              <w:pStyle w:val="TableParagraph"/>
              <w:numPr>
                <w:ilvl w:val="0"/>
                <w:numId w:val="40"/>
              </w:numPr>
              <w:tabs>
                <w:tab w:pos="508" w:val="left" w:leader="none"/>
              </w:tabs>
              <w:spacing w:line="240" w:lineRule="auto" w:before="0" w:after="0"/>
              <w:ind w:left="124" w:right="115" w:firstLine="231"/>
              <w:jc w:val="left"/>
              <w:rPr>
                <w:sz w:val="24"/>
              </w:rPr>
            </w:pPr>
            <w:r>
              <w:rPr>
                <w:sz w:val="24"/>
              </w:rPr>
              <w:t>Primary MCLs: Synthetic Organic Contaminants</w:t>
            </w:r>
            <w:r>
              <w:rPr>
                <w:spacing w:val="-15"/>
                <w:sz w:val="24"/>
              </w:rPr>
              <w:t> </w:t>
            </w:r>
            <w:r>
              <w:rPr>
                <w:sz w:val="24"/>
              </w:rPr>
              <w:t>(SOCs)</w:t>
            </w:r>
          </w:p>
          <w:p>
            <w:pPr>
              <w:pStyle w:val="TableParagraph"/>
              <w:numPr>
                <w:ilvl w:val="0"/>
                <w:numId w:val="41"/>
              </w:numPr>
              <w:tabs>
                <w:tab w:pos="381" w:val="left" w:leader="none"/>
              </w:tabs>
              <w:spacing w:line="240" w:lineRule="auto" w:before="40" w:after="0"/>
              <w:ind w:left="1151" w:right="219" w:hanging="922"/>
              <w:jc w:val="left"/>
              <w:rPr>
                <w:sz w:val="24"/>
              </w:rPr>
            </w:pPr>
            <w:r>
              <w:rPr>
                <w:sz w:val="24"/>
              </w:rPr>
              <w:t>Primary MCLs:</w:t>
            </w:r>
            <w:r>
              <w:rPr>
                <w:spacing w:val="-19"/>
                <w:sz w:val="24"/>
              </w:rPr>
              <w:t> </w:t>
            </w:r>
            <w:r>
              <w:rPr>
                <w:sz w:val="24"/>
              </w:rPr>
              <w:t>Disinfection Byproducts</w:t>
            </w:r>
          </w:p>
        </w:tc>
        <w:tc>
          <w:tcPr>
            <w:tcW w:w="5845" w:type="dxa"/>
          </w:tcPr>
          <w:p>
            <w:pPr>
              <w:pStyle w:val="TableParagraph"/>
              <w:jc w:val="left"/>
              <w:rPr>
                <w:rFonts w:ascii="Times New Roman"/>
                <w:sz w:val="24"/>
              </w:rPr>
            </w:pPr>
          </w:p>
        </w:tc>
      </w:tr>
      <w:tr>
        <w:trPr>
          <w:trHeight w:val="631" w:hRule="atLeast"/>
        </w:trPr>
        <w:tc>
          <w:tcPr>
            <w:tcW w:w="3505" w:type="dxa"/>
          </w:tcPr>
          <w:p>
            <w:pPr>
              <w:pStyle w:val="TableParagraph"/>
              <w:spacing w:before="41"/>
              <w:ind w:left="871" w:right="468" w:hanging="372"/>
              <w:jc w:val="left"/>
              <w:rPr>
                <w:sz w:val="24"/>
              </w:rPr>
            </w:pPr>
            <w:r>
              <w:rPr>
                <w:sz w:val="24"/>
              </w:rPr>
              <w:t>Secondary MCLs: Total Dissolved Solids</w:t>
            </w:r>
          </w:p>
        </w:tc>
        <w:tc>
          <w:tcPr>
            <w:tcW w:w="5845" w:type="dxa"/>
          </w:tcPr>
          <w:p>
            <w:pPr>
              <w:pStyle w:val="TableParagraph"/>
              <w:spacing w:before="41"/>
              <w:ind w:left="173" w:right="85" w:hanging="60"/>
              <w:jc w:val="left"/>
              <w:rPr>
                <w:sz w:val="24"/>
              </w:rPr>
            </w:pPr>
            <w:r>
              <w:rPr>
                <w:sz w:val="24"/>
              </w:rPr>
              <w:t>Pollutants associated with CII activities in the influent of the infiltration BMP(s) shall not exceed 500 mg/L.</w:t>
            </w:r>
          </w:p>
        </w:tc>
      </w:tr>
      <w:tr>
        <w:trPr>
          <w:trHeight w:val="631" w:hRule="atLeast"/>
        </w:trPr>
        <w:tc>
          <w:tcPr>
            <w:tcW w:w="3505" w:type="dxa"/>
          </w:tcPr>
          <w:p>
            <w:pPr>
              <w:pStyle w:val="TableParagraph"/>
              <w:spacing w:before="180"/>
              <w:ind w:left="297" w:right="289"/>
              <w:rPr>
                <w:sz w:val="24"/>
              </w:rPr>
            </w:pPr>
            <w:r>
              <w:rPr>
                <w:sz w:val="24"/>
              </w:rPr>
              <w:t>Secondary MCLs: Chloride</w:t>
            </w:r>
          </w:p>
        </w:tc>
        <w:tc>
          <w:tcPr>
            <w:tcW w:w="5845" w:type="dxa"/>
          </w:tcPr>
          <w:p>
            <w:pPr>
              <w:pStyle w:val="TableParagraph"/>
              <w:spacing w:before="41"/>
              <w:ind w:left="173" w:right="85" w:hanging="60"/>
              <w:jc w:val="left"/>
              <w:rPr>
                <w:sz w:val="24"/>
              </w:rPr>
            </w:pPr>
            <w:r>
              <w:rPr>
                <w:sz w:val="24"/>
              </w:rPr>
              <w:t>Pollutants associated with CII activities in the influent of the infiltration BMP(s) shall not exceed 250 mg/L.</w:t>
            </w:r>
          </w:p>
        </w:tc>
      </w:tr>
      <w:tr>
        <w:trPr>
          <w:trHeight w:val="908" w:hRule="atLeast"/>
        </w:trPr>
        <w:tc>
          <w:tcPr>
            <w:tcW w:w="3505" w:type="dxa"/>
          </w:tcPr>
          <w:p>
            <w:pPr>
              <w:pStyle w:val="TableParagraph"/>
              <w:spacing w:before="179"/>
              <w:ind w:left="1045" w:right="315" w:hanging="700"/>
              <w:jc w:val="left"/>
              <w:rPr>
                <w:sz w:val="24"/>
              </w:rPr>
            </w:pPr>
            <w:r>
              <w:rPr>
                <w:sz w:val="24"/>
              </w:rPr>
              <w:t>Secondary MCLs: Specific Conductance</w:t>
            </w:r>
          </w:p>
        </w:tc>
        <w:tc>
          <w:tcPr>
            <w:tcW w:w="5845" w:type="dxa"/>
          </w:tcPr>
          <w:p>
            <w:pPr>
              <w:pStyle w:val="TableParagraph"/>
              <w:spacing w:before="41"/>
              <w:ind w:left="113" w:right="102"/>
              <w:rPr>
                <w:sz w:val="24"/>
              </w:rPr>
            </w:pPr>
            <w:r>
              <w:rPr>
                <w:sz w:val="24"/>
              </w:rPr>
              <w:t>Pollutants associated with CII activities in the influent of the infiltration BMP(s) shall not exceed 500</w:t>
            </w:r>
          </w:p>
          <w:p>
            <w:pPr>
              <w:pStyle w:val="TableParagraph"/>
              <w:ind w:left="110" w:right="102"/>
              <w:rPr>
                <w:sz w:val="24"/>
              </w:rPr>
            </w:pPr>
            <w:r>
              <w:rPr>
                <w:sz w:val="24"/>
              </w:rPr>
              <w:t>µS/cm.</w:t>
            </w:r>
          </w:p>
        </w:tc>
      </w:tr>
      <w:tr>
        <w:trPr>
          <w:trHeight w:val="633" w:hRule="atLeast"/>
        </w:trPr>
        <w:tc>
          <w:tcPr>
            <w:tcW w:w="3505" w:type="dxa"/>
          </w:tcPr>
          <w:p>
            <w:pPr>
              <w:pStyle w:val="TableParagraph"/>
              <w:spacing w:before="180"/>
              <w:ind w:left="297" w:right="288"/>
              <w:rPr>
                <w:sz w:val="24"/>
              </w:rPr>
            </w:pPr>
            <w:r>
              <w:rPr>
                <w:sz w:val="24"/>
              </w:rPr>
              <w:t>Secondary MCLs: Sulfate</w:t>
            </w:r>
          </w:p>
        </w:tc>
        <w:tc>
          <w:tcPr>
            <w:tcW w:w="5845" w:type="dxa"/>
          </w:tcPr>
          <w:p>
            <w:pPr>
              <w:pStyle w:val="TableParagraph"/>
              <w:spacing w:before="41"/>
              <w:ind w:left="173" w:right="85" w:hanging="60"/>
              <w:jc w:val="left"/>
              <w:rPr>
                <w:sz w:val="24"/>
              </w:rPr>
            </w:pPr>
            <w:r>
              <w:rPr>
                <w:sz w:val="24"/>
              </w:rPr>
              <w:t>Pollutants associated with CII activities in the influent of the infiltration BMP(s) shall not exceed 250 mg/L.</w:t>
            </w:r>
          </w:p>
        </w:tc>
      </w:tr>
    </w:tbl>
    <w:p>
      <w:pPr>
        <w:pStyle w:val="BodyText"/>
        <w:rPr>
          <w:sz w:val="20"/>
        </w:rPr>
      </w:pPr>
    </w:p>
    <w:p>
      <w:pPr>
        <w:pStyle w:val="BodyText"/>
        <w:spacing w:before="10"/>
        <w:rPr>
          <w:sz w:val="16"/>
        </w:rPr>
      </w:pPr>
    </w:p>
    <w:p>
      <w:pPr>
        <w:pStyle w:val="Heading1"/>
        <w:numPr>
          <w:ilvl w:val="1"/>
          <w:numId w:val="38"/>
        </w:numPr>
        <w:tabs>
          <w:tab w:pos="871" w:val="left" w:leader="none"/>
        </w:tabs>
        <w:spacing w:line="240" w:lineRule="auto" w:before="92" w:after="0"/>
        <w:ind w:left="870" w:right="0" w:hanging="591"/>
        <w:jc w:val="left"/>
      </w:pPr>
      <w:r>
        <w:rPr/>
        <w:t>Requirements for BMP Construction and Operational</w:t>
      </w:r>
      <w:r>
        <w:rPr>
          <w:spacing w:val="-4"/>
        </w:rPr>
        <w:t> </w:t>
      </w:r>
      <w:r>
        <w:rPr/>
        <w:t>Timeline</w:t>
      </w:r>
    </w:p>
    <w:p>
      <w:pPr>
        <w:pStyle w:val="BodyText"/>
        <w:spacing w:before="10"/>
        <w:rPr>
          <w:b/>
          <w:sz w:val="20"/>
        </w:rPr>
      </w:pPr>
    </w:p>
    <w:p>
      <w:pPr>
        <w:pStyle w:val="BodyText"/>
        <w:ind w:left="870" w:right="1459"/>
      </w:pPr>
      <w:r>
        <w:rPr/>
        <w:t>A Discharger complying with Compliance Option 2 shall design, construct, and have on-site BMP(s) operational and functioning within two (2) years from submittal of PRD documents.</w:t>
      </w:r>
    </w:p>
    <w:p>
      <w:pPr>
        <w:pStyle w:val="BodyText"/>
        <w:spacing w:before="10"/>
        <w:rPr>
          <w:sz w:val="20"/>
        </w:rPr>
      </w:pPr>
    </w:p>
    <w:p>
      <w:pPr>
        <w:pStyle w:val="Heading1"/>
        <w:numPr>
          <w:ilvl w:val="1"/>
          <w:numId w:val="38"/>
        </w:numPr>
        <w:tabs>
          <w:tab w:pos="871" w:val="left" w:leader="none"/>
        </w:tabs>
        <w:spacing w:line="240" w:lineRule="auto" w:before="0" w:after="0"/>
        <w:ind w:left="870" w:right="0" w:hanging="592"/>
        <w:jc w:val="left"/>
      </w:pPr>
      <w:r>
        <w:rPr/>
        <w:t>Reporting Requirements for BMP(s)</w:t>
      </w:r>
      <w:r>
        <w:rPr>
          <w:spacing w:val="-2"/>
        </w:rPr>
        <w:t> </w:t>
      </w:r>
      <w:r>
        <w:rPr/>
        <w:t>Design.</w:t>
      </w:r>
    </w:p>
    <w:p>
      <w:pPr>
        <w:pStyle w:val="BodyText"/>
        <w:spacing w:before="11"/>
        <w:rPr>
          <w:b/>
          <w:sz w:val="23"/>
        </w:rPr>
      </w:pPr>
    </w:p>
    <w:p>
      <w:pPr>
        <w:pStyle w:val="BodyText"/>
        <w:ind w:left="870" w:right="1699"/>
      </w:pPr>
      <w:r>
        <w:rPr/>
        <w:t>A Discharger complying with Compliance Option 2 shall submit the following information via SMARTS seven (7) days prior to the initial operation of the stormwater control:</w:t>
      </w:r>
    </w:p>
    <w:p>
      <w:pPr>
        <w:pStyle w:val="BodyText"/>
        <w:spacing w:before="10"/>
        <w:rPr>
          <w:sz w:val="20"/>
        </w:rPr>
      </w:pPr>
    </w:p>
    <w:p>
      <w:pPr>
        <w:pStyle w:val="ListParagraph"/>
        <w:numPr>
          <w:ilvl w:val="2"/>
          <w:numId w:val="38"/>
        </w:numPr>
        <w:tabs>
          <w:tab w:pos="1100" w:val="left" w:leader="none"/>
          <w:tab w:pos="1101" w:val="left" w:leader="none"/>
        </w:tabs>
        <w:spacing w:line="240" w:lineRule="auto" w:before="0" w:after="0"/>
        <w:ind w:left="1100" w:right="0" w:hanging="822"/>
        <w:jc w:val="left"/>
        <w:rPr>
          <w:sz w:val="24"/>
        </w:rPr>
      </w:pPr>
      <w:r>
        <w:rPr>
          <w:sz w:val="24"/>
        </w:rPr>
        <w:t>Type of BMP(s) being</w:t>
      </w:r>
      <w:r>
        <w:rPr>
          <w:spacing w:val="-2"/>
          <w:sz w:val="24"/>
        </w:rPr>
        <w:t> </w:t>
      </w:r>
      <w:r>
        <w:rPr>
          <w:sz w:val="24"/>
        </w:rPr>
        <w:t>implemented;</w:t>
      </w:r>
    </w:p>
    <w:p>
      <w:pPr>
        <w:pStyle w:val="BodyText"/>
        <w:spacing w:before="10"/>
        <w:rPr>
          <w:sz w:val="20"/>
        </w:rPr>
      </w:pPr>
    </w:p>
    <w:p>
      <w:pPr>
        <w:pStyle w:val="ListParagraph"/>
        <w:numPr>
          <w:ilvl w:val="2"/>
          <w:numId w:val="38"/>
        </w:numPr>
        <w:tabs>
          <w:tab w:pos="1099" w:val="left" w:leader="none"/>
          <w:tab w:pos="1101" w:val="left" w:leader="none"/>
        </w:tabs>
        <w:spacing w:line="240" w:lineRule="auto" w:before="0" w:after="0"/>
        <w:ind w:left="1100" w:right="0" w:hanging="822"/>
        <w:jc w:val="left"/>
        <w:rPr>
          <w:sz w:val="24"/>
        </w:rPr>
      </w:pPr>
      <w:r>
        <w:rPr>
          <w:sz w:val="24"/>
        </w:rPr>
        <w:t>A map with the BMP(s)</w:t>
      </w:r>
      <w:r>
        <w:rPr>
          <w:spacing w:val="-1"/>
          <w:sz w:val="24"/>
        </w:rPr>
        <w:t> </w:t>
      </w:r>
      <w:r>
        <w:rPr>
          <w:sz w:val="24"/>
        </w:rPr>
        <w:t>location;</w:t>
      </w:r>
    </w:p>
    <w:p>
      <w:pPr>
        <w:pStyle w:val="BodyText"/>
        <w:spacing w:before="10"/>
        <w:rPr>
          <w:sz w:val="20"/>
        </w:rPr>
      </w:pPr>
    </w:p>
    <w:p>
      <w:pPr>
        <w:pStyle w:val="ListParagraph"/>
        <w:numPr>
          <w:ilvl w:val="2"/>
          <w:numId w:val="38"/>
        </w:numPr>
        <w:tabs>
          <w:tab w:pos="1100" w:val="left" w:leader="none"/>
          <w:tab w:pos="1101" w:val="left" w:leader="none"/>
        </w:tabs>
        <w:spacing w:line="240" w:lineRule="auto" w:before="0" w:after="0"/>
        <w:ind w:left="1100" w:right="0" w:hanging="822"/>
        <w:jc w:val="left"/>
        <w:rPr>
          <w:sz w:val="24"/>
        </w:rPr>
      </w:pPr>
      <w:r>
        <w:rPr>
          <w:sz w:val="24"/>
        </w:rPr>
        <w:t>BMP(s) latitude and</w:t>
      </w:r>
      <w:r>
        <w:rPr>
          <w:spacing w:val="-1"/>
          <w:sz w:val="24"/>
        </w:rPr>
        <w:t> </w:t>
      </w:r>
      <w:r>
        <w:rPr>
          <w:sz w:val="24"/>
        </w:rPr>
        <w:t>longitude;</w:t>
      </w:r>
    </w:p>
    <w:p>
      <w:pPr>
        <w:pStyle w:val="BodyText"/>
        <w:spacing w:before="10"/>
        <w:rPr>
          <w:sz w:val="20"/>
        </w:rPr>
      </w:pPr>
    </w:p>
    <w:p>
      <w:pPr>
        <w:pStyle w:val="ListParagraph"/>
        <w:numPr>
          <w:ilvl w:val="2"/>
          <w:numId w:val="38"/>
        </w:numPr>
        <w:tabs>
          <w:tab w:pos="1100" w:val="left" w:leader="none"/>
          <w:tab w:pos="1101" w:val="left" w:leader="none"/>
        </w:tabs>
        <w:spacing w:line="240" w:lineRule="auto" w:before="0" w:after="0"/>
        <w:ind w:left="1100" w:right="1377" w:hanging="821"/>
        <w:jc w:val="left"/>
        <w:rPr>
          <w:sz w:val="24"/>
        </w:rPr>
      </w:pPr>
      <w:r>
        <w:rPr>
          <w:sz w:val="24"/>
        </w:rPr>
        <w:t>Bypass mechanisms for the discharged volume that is above and beyond the 85th percentile 24-hour storm, into a receiving water;</w:t>
      </w:r>
      <w:r>
        <w:rPr>
          <w:spacing w:val="-9"/>
          <w:sz w:val="24"/>
        </w:rPr>
        <w:t> </w:t>
      </w:r>
      <w:r>
        <w:rPr>
          <w:sz w:val="24"/>
        </w:rPr>
        <w:t>and,</w:t>
      </w:r>
    </w:p>
    <w:p>
      <w:pPr>
        <w:pStyle w:val="BodyText"/>
        <w:spacing w:before="10"/>
        <w:rPr>
          <w:sz w:val="20"/>
        </w:rPr>
      </w:pPr>
    </w:p>
    <w:p>
      <w:pPr>
        <w:pStyle w:val="ListParagraph"/>
        <w:numPr>
          <w:ilvl w:val="2"/>
          <w:numId w:val="38"/>
        </w:numPr>
        <w:tabs>
          <w:tab w:pos="1100" w:val="left" w:leader="none"/>
          <w:tab w:pos="1101" w:val="left" w:leader="none"/>
        </w:tabs>
        <w:spacing w:line="240" w:lineRule="auto" w:before="0" w:after="0"/>
        <w:ind w:left="1100" w:right="0" w:hanging="822"/>
        <w:jc w:val="left"/>
        <w:rPr>
          <w:sz w:val="24"/>
        </w:rPr>
      </w:pPr>
      <w:r>
        <w:rPr>
          <w:sz w:val="24"/>
        </w:rPr>
        <w:t>Description of pretreatment system used for infiltration</w:t>
      </w:r>
      <w:r>
        <w:rPr>
          <w:spacing w:val="-7"/>
          <w:sz w:val="24"/>
        </w:rPr>
        <w:t> </w:t>
      </w:r>
      <w:r>
        <w:rPr>
          <w:sz w:val="24"/>
        </w:rPr>
        <w:t>BMP(s).</w:t>
      </w:r>
    </w:p>
    <w:p>
      <w:pPr>
        <w:pStyle w:val="BodyText"/>
        <w:spacing w:before="10"/>
        <w:rPr>
          <w:sz w:val="20"/>
        </w:rPr>
      </w:pPr>
    </w:p>
    <w:p>
      <w:pPr>
        <w:pStyle w:val="Heading1"/>
        <w:numPr>
          <w:ilvl w:val="1"/>
          <w:numId w:val="38"/>
        </w:numPr>
        <w:tabs>
          <w:tab w:pos="871" w:val="left" w:leader="none"/>
        </w:tabs>
        <w:spacing w:line="240" w:lineRule="auto" w:before="0" w:after="0"/>
        <w:ind w:left="870" w:right="1186" w:hanging="591"/>
        <w:jc w:val="left"/>
      </w:pPr>
      <w:r>
        <w:rPr/>
        <w:t>Monitoring and Reporting Requirements for a Discharger with Implemented and Operational</w:t>
      </w:r>
      <w:r>
        <w:rPr>
          <w:spacing w:val="-1"/>
        </w:rPr>
        <w:t> </w:t>
      </w:r>
      <w:r>
        <w:rPr/>
        <w:t>BMP(s).</w:t>
      </w:r>
    </w:p>
    <w:p>
      <w:pPr>
        <w:spacing w:after="0" w:line="240" w:lineRule="auto"/>
        <w:jc w:val="left"/>
        <w:sectPr>
          <w:pgSz w:w="12240" w:h="15840"/>
          <w:pgMar w:header="728" w:footer="788" w:top="1540" w:bottom="980" w:left="1160" w:right="420"/>
        </w:sectPr>
      </w:pPr>
    </w:p>
    <w:p>
      <w:pPr>
        <w:pStyle w:val="BodyText"/>
        <w:rPr>
          <w:b/>
          <w:sz w:val="20"/>
        </w:rPr>
      </w:pPr>
    </w:p>
    <w:p>
      <w:pPr>
        <w:pStyle w:val="BodyText"/>
        <w:spacing w:before="11"/>
        <w:rPr>
          <w:b/>
          <w:sz w:val="19"/>
        </w:rPr>
      </w:pPr>
    </w:p>
    <w:p>
      <w:pPr>
        <w:pStyle w:val="BodyText"/>
        <w:spacing w:before="92"/>
        <w:ind w:left="870"/>
      </w:pPr>
      <w:r>
        <w:rPr/>
        <w:t>The Discharger shall:</w:t>
      </w:r>
    </w:p>
    <w:p>
      <w:pPr>
        <w:pStyle w:val="BodyText"/>
        <w:spacing w:before="10"/>
        <w:rPr>
          <w:sz w:val="20"/>
        </w:rPr>
      </w:pPr>
    </w:p>
    <w:p>
      <w:pPr>
        <w:pStyle w:val="ListParagraph"/>
        <w:numPr>
          <w:ilvl w:val="2"/>
          <w:numId w:val="38"/>
        </w:numPr>
        <w:tabs>
          <w:tab w:pos="1100" w:val="left" w:leader="none"/>
          <w:tab w:pos="1101" w:val="left" w:leader="none"/>
        </w:tabs>
        <w:spacing w:line="240" w:lineRule="auto" w:before="0" w:after="0"/>
        <w:ind w:left="1100" w:right="1352" w:hanging="821"/>
        <w:jc w:val="left"/>
        <w:rPr>
          <w:sz w:val="24"/>
        </w:rPr>
      </w:pPr>
      <w:r>
        <w:rPr>
          <w:sz w:val="24"/>
        </w:rPr>
        <w:t>Comply with the Visual Observations and Inspection requirements of both the installed BMPs and discharges, in sections 2.1 and 2.2.4 of Attachment E, respectively;</w:t>
      </w:r>
    </w:p>
    <w:p>
      <w:pPr>
        <w:pStyle w:val="BodyText"/>
        <w:spacing w:before="10"/>
        <w:rPr>
          <w:sz w:val="20"/>
        </w:rPr>
      </w:pPr>
    </w:p>
    <w:p>
      <w:pPr>
        <w:pStyle w:val="ListParagraph"/>
        <w:numPr>
          <w:ilvl w:val="2"/>
          <w:numId w:val="38"/>
        </w:numPr>
        <w:tabs>
          <w:tab w:pos="1100" w:val="left" w:leader="none"/>
          <w:tab w:pos="1101" w:val="left" w:leader="none"/>
        </w:tabs>
        <w:spacing w:line="240" w:lineRule="auto" w:before="0" w:after="0"/>
        <w:ind w:left="1100" w:right="1045" w:hanging="821"/>
        <w:jc w:val="left"/>
        <w:rPr>
          <w:sz w:val="24"/>
        </w:rPr>
      </w:pPr>
      <w:r>
        <w:rPr>
          <w:sz w:val="24"/>
        </w:rPr>
        <w:t>Conduct representative sampling and analysis of the influent entering the infiltration BMP(s) in compliance with section 1.4.6.1. Dischargers shall, at a minimum, collect and analyze samples of influent entering the infiltration BMP(s) two times within the first half of the Reporting Year (July 1 – December 31) and two times within the second half of the Reporting Year (January 1 – June</w:t>
      </w:r>
      <w:r>
        <w:rPr>
          <w:spacing w:val="-30"/>
          <w:sz w:val="24"/>
        </w:rPr>
        <w:t> </w:t>
      </w:r>
      <w:r>
        <w:rPr>
          <w:sz w:val="24"/>
        </w:rPr>
        <w:t>30).</w:t>
      </w:r>
    </w:p>
    <w:p>
      <w:pPr>
        <w:pStyle w:val="BodyText"/>
        <w:spacing w:before="10"/>
        <w:rPr>
          <w:sz w:val="20"/>
        </w:rPr>
      </w:pPr>
    </w:p>
    <w:p>
      <w:pPr>
        <w:pStyle w:val="ListParagraph"/>
        <w:numPr>
          <w:ilvl w:val="2"/>
          <w:numId w:val="38"/>
        </w:numPr>
        <w:tabs>
          <w:tab w:pos="1099" w:val="left" w:leader="none"/>
          <w:tab w:pos="1100" w:val="left" w:leader="none"/>
        </w:tabs>
        <w:spacing w:line="240" w:lineRule="auto" w:before="1" w:after="0"/>
        <w:ind w:left="1100" w:right="1245" w:hanging="821"/>
        <w:jc w:val="left"/>
        <w:rPr>
          <w:sz w:val="24"/>
        </w:rPr>
      </w:pPr>
      <w:r>
        <w:rPr>
          <w:sz w:val="24"/>
        </w:rPr>
        <w:t>Submit all sampling and analysis information and results in SMARTS within 30 days after obtaining the information and</w:t>
      </w:r>
      <w:r>
        <w:rPr>
          <w:spacing w:val="-4"/>
          <w:sz w:val="24"/>
        </w:rPr>
        <w:t> </w:t>
      </w:r>
      <w:r>
        <w:rPr>
          <w:sz w:val="24"/>
        </w:rPr>
        <w:t>results;</w:t>
      </w:r>
    </w:p>
    <w:p>
      <w:pPr>
        <w:pStyle w:val="BodyText"/>
        <w:spacing w:before="9"/>
        <w:rPr>
          <w:sz w:val="20"/>
        </w:rPr>
      </w:pPr>
    </w:p>
    <w:p>
      <w:pPr>
        <w:pStyle w:val="ListParagraph"/>
        <w:numPr>
          <w:ilvl w:val="2"/>
          <w:numId w:val="38"/>
        </w:numPr>
        <w:tabs>
          <w:tab w:pos="1100" w:val="left" w:leader="none"/>
          <w:tab w:pos="1101" w:val="left" w:leader="none"/>
        </w:tabs>
        <w:spacing w:line="240" w:lineRule="auto" w:before="1" w:after="0"/>
        <w:ind w:left="1100" w:right="0" w:hanging="821"/>
        <w:jc w:val="left"/>
        <w:rPr>
          <w:sz w:val="24"/>
        </w:rPr>
      </w:pPr>
      <w:r>
        <w:rPr>
          <w:sz w:val="24"/>
        </w:rPr>
        <w:t>Comply with Reporting Schedules in Table E-1 of Attachment E;</w:t>
      </w:r>
      <w:r>
        <w:rPr>
          <w:spacing w:val="-8"/>
          <w:sz w:val="24"/>
        </w:rPr>
        <w:t> </w:t>
      </w:r>
      <w:r>
        <w:rPr>
          <w:sz w:val="24"/>
        </w:rPr>
        <w:t>and;</w:t>
      </w:r>
    </w:p>
    <w:p>
      <w:pPr>
        <w:pStyle w:val="BodyText"/>
        <w:spacing w:before="9"/>
        <w:rPr>
          <w:sz w:val="20"/>
        </w:rPr>
      </w:pPr>
    </w:p>
    <w:p>
      <w:pPr>
        <w:pStyle w:val="ListParagraph"/>
        <w:numPr>
          <w:ilvl w:val="2"/>
          <w:numId w:val="38"/>
        </w:numPr>
        <w:tabs>
          <w:tab w:pos="1099" w:val="left" w:leader="none"/>
          <w:tab w:pos="1100" w:val="left" w:leader="none"/>
        </w:tabs>
        <w:spacing w:line="240" w:lineRule="auto" w:before="1" w:after="0"/>
        <w:ind w:left="1100" w:right="1461" w:hanging="821"/>
        <w:jc w:val="left"/>
        <w:rPr>
          <w:sz w:val="24"/>
        </w:rPr>
      </w:pPr>
      <w:r>
        <w:rPr>
          <w:sz w:val="24"/>
        </w:rPr>
        <w:t>A Discharger complying with Compliance Option 2 must submit the following information in SMARTS within the visual inspection and evaluation</w:t>
      </w:r>
      <w:r>
        <w:rPr>
          <w:spacing w:val="-32"/>
          <w:sz w:val="24"/>
        </w:rPr>
        <w:t> </w:t>
      </w:r>
      <w:r>
        <w:rPr>
          <w:sz w:val="24"/>
        </w:rPr>
        <w:t>report:</w:t>
      </w:r>
    </w:p>
    <w:p>
      <w:pPr>
        <w:pStyle w:val="BodyText"/>
        <w:spacing w:before="10"/>
        <w:rPr>
          <w:sz w:val="20"/>
        </w:rPr>
      </w:pPr>
    </w:p>
    <w:p>
      <w:pPr>
        <w:pStyle w:val="ListParagraph"/>
        <w:numPr>
          <w:ilvl w:val="3"/>
          <w:numId w:val="38"/>
        </w:numPr>
        <w:tabs>
          <w:tab w:pos="1359" w:val="left" w:leader="none"/>
          <w:tab w:pos="1360" w:val="left" w:leader="none"/>
        </w:tabs>
        <w:spacing w:line="240" w:lineRule="auto" w:before="0" w:after="0"/>
        <w:ind w:left="1359" w:right="1330" w:hanging="1080"/>
        <w:jc w:val="left"/>
        <w:rPr>
          <w:sz w:val="24"/>
        </w:rPr>
      </w:pPr>
      <w:r>
        <w:rPr>
          <w:sz w:val="24"/>
        </w:rPr>
        <w:t>The size of each rain event, in inches of rain per hour, that discharges from the BMP(s);</w:t>
      </w:r>
    </w:p>
    <w:p>
      <w:pPr>
        <w:pStyle w:val="BodyText"/>
        <w:spacing w:before="10"/>
        <w:rPr>
          <w:sz w:val="20"/>
        </w:rPr>
      </w:pPr>
    </w:p>
    <w:p>
      <w:pPr>
        <w:pStyle w:val="ListParagraph"/>
        <w:numPr>
          <w:ilvl w:val="3"/>
          <w:numId w:val="38"/>
        </w:numPr>
        <w:tabs>
          <w:tab w:pos="1358" w:val="left" w:leader="none"/>
          <w:tab w:pos="1359" w:val="left" w:leader="none"/>
        </w:tabs>
        <w:spacing w:line="240" w:lineRule="auto" w:before="0" w:after="0"/>
        <w:ind w:left="1358" w:right="0" w:hanging="1080"/>
        <w:jc w:val="left"/>
        <w:rPr>
          <w:sz w:val="24"/>
        </w:rPr>
      </w:pPr>
      <w:r>
        <w:rPr>
          <w:sz w:val="24"/>
        </w:rPr>
        <w:t>The estimated volume of the corresponding discharge;</w:t>
      </w:r>
      <w:r>
        <w:rPr>
          <w:spacing w:val="-4"/>
          <w:sz w:val="24"/>
        </w:rPr>
        <w:t> </w:t>
      </w:r>
      <w:r>
        <w:rPr>
          <w:sz w:val="24"/>
        </w:rPr>
        <w:t>and,</w:t>
      </w:r>
    </w:p>
    <w:p>
      <w:pPr>
        <w:pStyle w:val="BodyText"/>
        <w:spacing w:before="10"/>
        <w:rPr>
          <w:sz w:val="20"/>
        </w:rPr>
      </w:pPr>
    </w:p>
    <w:p>
      <w:pPr>
        <w:pStyle w:val="ListParagraph"/>
        <w:numPr>
          <w:ilvl w:val="3"/>
          <w:numId w:val="38"/>
        </w:numPr>
        <w:tabs>
          <w:tab w:pos="1358" w:val="left" w:leader="none"/>
          <w:tab w:pos="1359" w:val="left" w:leader="none"/>
        </w:tabs>
        <w:spacing w:line="240" w:lineRule="auto" w:before="0" w:after="0"/>
        <w:ind w:left="1358" w:right="0" w:hanging="1080"/>
        <w:jc w:val="left"/>
        <w:rPr>
          <w:sz w:val="24"/>
        </w:rPr>
      </w:pPr>
      <w:r>
        <w:rPr>
          <w:sz w:val="24"/>
        </w:rPr>
        <w:t>The date and estimated start and end time of all</w:t>
      </w:r>
      <w:r>
        <w:rPr>
          <w:spacing w:val="-7"/>
          <w:sz w:val="24"/>
        </w:rPr>
        <w:t> </w:t>
      </w:r>
      <w:r>
        <w:rPr>
          <w:sz w:val="24"/>
        </w:rPr>
        <w:t>discharges.</w:t>
      </w:r>
    </w:p>
    <w:p>
      <w:pPr>
        <w:pStyle w:val="BodyText"/>
        <w:spacing w:before="10"/>
        <w:rPr>
          <w:sz w:val="20"/>
        </w:rPr>
      </w:pPr>
    </w:p>
    <w:p>
      <w:pPr>
        <w:pStyle w:val="Heading1"/>
        <w:numPr>
          <w:ilvl w:val="1"/>
          <w:numId w:val="42"/>
        </w:numPr>
        <w:tabs>
          <w:tab w:pos="871" w:val="left" w:leader="none"/>
        </w:tabs>
        <w:spacing w:line="240" w:lineRule="auto" w:before="0" w:after="0"/>
        <w:ind w:left="870" w:right="0" w:hanging="592"/>
        <w:jc w:val="left"/>
      </w:pPr>
      <w:r>
        <w:rPr/>
        <w:t>Stormwater Pollution Prevention Plan</w:t>
      </w:r>
      <w:r>
        <w:rPr>
          <w:spacing w:val="-3"/>
        </w:rPr>
        <w:t> </w:t>
      </w:r>
      <w:r>
        <w:rPr/>
        <w:t>Requirements.</w:t>
      </w:r>
    </w:p>
    <w:p>
      <w:pPr>
        <w:pStyle w:val="BodyText"/>
        <w:spacing w:before="10"/>
        <w:rPr>
          <w:b/>
          <w:sz w:val="20"/>
        </w:rPr>
      </w:pPr>
    </w:p>
    <w:p>
      <w:pPr>
        <w:pStyle w:val="ListParagraph"/>
        <w:numPr>
          <w:ilvl w:val="2"/>
          <w:numId w:val="42"/>
        </w:numPr>
        <w:tabs>
          <w:tab w:pos="1100" w:val="left" w:leader="none"/>
          <w:tab w:pos="1101" w:val="left" w:leader="none"/>
        </w:tabs>
        <w:spacing w:line="240" w:lineRule="auto" w:before="0" w:after="0"/>
        <w:ind w:left="1100" w:right="1032" w:hanging="821"/>
        <w:jc w:val="left"/>
        <w:rPr>
          <w:sz w:val="24"/>
        </w:rPr>
      </w:pPr>
      <w:r>
        <w:rPr>
          <w:sz w:val="24"/>
        </w:rPr>
        <w:t>A Discharger complying with Compliance Option 2 shall update their Stormwater Pollution Prevention Plan with the following</w:t>
      </w:r>
      <w:r>
        <w:rPr>
          <w:spacing w:val="-4"/>
          <w:sz w:val="24"/>
        </w:rPr>
        <w:t> </w:t>
      </w:r>
      <w:r>
        <w:rPr>
          <w:sz w:val="24"/>
        </w:rPr>
        <w:t>documentation:</w:t>
      </w:r>
    </w:p>
    <w:p>
      <w:pPr>
        <w:pStyle w:val="BodyText"/>
        <w:spacing w:before="9"/>
        <w:rPr>
          <w:sz w:val="20"/>
        </w:rPr>
      </w:pPr>
    </w:p>
    <w:p>
      <w:pPr>
        <w:pStyle w:val="ListParagraph"/>
        <w:numPr>
          <w:ilvl w:val="3"/>
          <w:numId w:val="42"/>
        </w:numPr>
        <w:tabs>
          <w:tab w:pos="1359" w:val="left" w:leader="none"/>
          <w:tab w:pos="1360" w:val="left" w:leader="none"/>
        </w:tabs>
        <w:spacing w:line="240" w:lineRule="auto" w:before="0" w:after="0"/>
        <w:ind w:left="1359" w:right="0" w:hanging="1081"/>
        <w:jc w:val="left"/>
        <w:rPr>
          <w:sz w:val="24"/>
        </w:rPr>
      </w:pPr>
      <w:r>
        <w:rPr>
          <w:sz w:val="24"/>
        </w:rPr>
        <w:t>Description and photographs of the facility-specific</w:t>
      </w:r>
      <w:r>
        <w:rPr>
          <w:spacing w:val="-2"/>
          <w:sz w:val="24"/>
        </w:rPr>
        <w:t> </w:t>
      </w:r>
      <w:r>
        <w:rPr>
          <w:sz w:val="24"/>
        </w:rPr>
        <w:t>BMP(s);</w:t>
      </w:r>
    </w:p>
    <w:p>
      <w:pPr>
        <w:pStyle w:val="BodyText"/>
        <w:spacing w:before="10"/>
        <w:rPr>
          <w:sz w:val="20"/>
        </w:rPr>
      </w:pPr>
    </w:p>
    <w:p>
      <w:pPr>
        <w:pStyle w:val="ListParagraph"/>
        <w:numPr>
          <w:ilvl w:val="3"/>
          <w:numId w:val="42"/>
        </w:numPr>
        <w:tabs>
          <w:tab w:pos="1359" w:val="left" w:leader="none"/>
          <w:tab w:pos="1360" w:val="left" w:leader="none"/>
        </w:tabs>
        <w:spacing w:line="240" w:lineRule="auto" w:before="0" w:after="0"/>
        <w:ind w:left="1359" w:right="1214" w:hanging="1080"/>
        <w:jc w:val="left"/>
        <w:rPr>
          <w:sz w:val="24"/>
        </w:rPr>
      </w:pPr>
      <w:r>
        <w:rPr>
          <w:sz w:val="24"/>
        </w:rPr>
        <w:t>Operation and maintenance plan certified by the California licensed civil engineer that includes, but is not limited to, the following items: 1) inspection frequency; 2) titles of personnel authorized to conduct the BMP(s) inspections; 3) maintenance procedures for BMP(s) and installed pretreatment (if applicable); and 4) a maintenance</w:t>
      </w:r>
      <w:r>
        <w:rPr>
          <w:spacing w:val="-10"/>
          <w:sz w:val="24"/>
        </w:rPr>
        <w:t> </w:t>
      </w:r>
      <w:r>
        <w:rPr>
          <w:sz w:val="24"/>
        </w:rPr>
        <w:t>schedule;</w:t>
      </w:r>
    </w:p>
    <w:p>
      <w:pPr>
        <w:pStyle w:val="BodyText"/>
        <w:spacing w:before="10"/>
        <w:rPr>
          <w:sz w:val="20"/>
        </w:rPr>
      </w:pPr>
    </w:p>
    <w:p>
      <w:pPr>
        <w:pStyle w:val="ListParagraph"/>
        <w:numPr>
          <w:ilvl w:val="3"/>
          <w:numId w:val="42"/>
        </w:numPr>
        <w:tabs>
          <w:tab w:pos="1358" w:val="left" w:leader="none"/>
          <w:tab w:pos="1359" w:val="left" w:leader="none"/>
        </w:tabs>
        <w:spacing w:line="240" w:lineRule="auto" w:before="0" w:after="0"/>
        <w:ind w:left="1360" w:right="1507" w:hanging="1080"/>
        <w:jc w:val="left"/>
        <w:rPr>
          <w:sz w:val="24"/>
        </w:rPr>
      </w:pPr>
      <w:r>
        <w:rPr>
          <w:sz w:val="24"/>
        </w:rPr>
        <w:t>BMP(s) safety factor and reliability calculations required in section 1.1.4.4 above; and,</w:t>
      </w:r>
    </w:p>
    <w:p>
      <w:pPr>
        <w:pStyle w:val="BodyText"/>
        <w:spacing w:before="10"/>
        <w:rPr>
          <w:sz w:val="20"/>
        </w:rPr>
      </w:pPr>
    </w:p>
    <w:p>
      <w:pPr>
        <w:pStyle w:val="ListParagraph"/>
        <w:numPr>
          <w:ilvl w:val="3"/>
          <w:numId w:val="42"/>
        </w:numPr>
        <w:tabs>
          <w:tab w:pos="1359" w:val="left" w:leader="none"/>
          <w:tab w:pos="1360" w:val="left" w:leader="none"/>
        </w:tabs>
        <w:spacing w:line="240" w:lineRule="auto" w:before="0" w:after="0"/>
        <w:ind w:left="1360" w:right="1895" w:hanging="1080"/>
        <w:jc w:val="left"/>
        <w:rPr>
          <w:sz w:val="24"/>
        </w:rPr>
      </w:pPr>
      <w:r>
        <w:rPr>
          <w:sz w:val="24"/>
        </w:rPr>
        <w:t>Certification required in section 1.1.3 above provided by the</w:t>
      </w:r>
      <w:r>
        <w:rPr>
          <w:spacing w:val="-47"/>
          <w:sz w:val="24"/>
        </w:rPr>
        <w:t> </w:t>
      </w:r>
      <w:r>
        <w:rPr>
          <w:sz w:val="24"/>
        </w:rPr>
        <w:t>California licensed civil engineer;</w:t>
      </w:r>
      <w:r>
        <w:rPr>
          <w:spacing w:val="-1"/>
          <w:sz w:val="24"/>
        </w:rPr>
        <w:t> </w:t>
      </w:r>
      <w:r>
        <w:rPr>
          <w:sz w:val="24"/>
        </w:rPr>
        <w:t>and,</w:t>
      </w:r>
    </w:p>
    <w:p>
      <w:pPr>
        <w:spacing w:after="0" w:line="240" w:lineRule="auto"/>
        <w:jc w:val="left"/>
        <w:rPr>
          <w:sz w:val="24"/>
        </w:rPr>
        <w:sectPr>
          <w:pgSz w:w="12240" w:h="15840"/>
          <w:pgMar w:header="728" w:footer="788" w:top="1540" w:bottom="980" w:left="1160" w:right="420"/>
        </w:sectPr>
      </w:pPr>
    </w:p>
    <w:p>
      <w:pPr>
        <w:pStyle w:val="BodyText"/>
        <w:spacing w:before="11"/>
        <w:rPr>
          <w:sz w:val="15"/>
        </w:rPr>
      </w:pPr>
    </w:p>
    <w:p>
      <w:pPr>
        <w:pStyle w:val="ListParagraph"/>
        <w:numPr>
          <w:ilvl w:val="3"/>
          <w:numId w:val="42"/>
        </w:numPr>
        <w:tabs>
          <w:tab w:pos="1359" w:val="left" w:leader="none"/>
          <w:tab w:pos="1360" w:val="left" w:leader="none"/>
        </w:tabs>
        <w:spacing w:line="240" w:lineRule="auto" w:before="92" w:after="0"/>
        <w:ind w:left="1360" w:right="1174" w:hanging="1080"/>
        <w:jc w:val="left"/>
        <w:rPr>
          <w:sz w:val="24"/>
        </w:rPr>
      </w:pPr>
      <w:r>
        <w:rPr>
          <w:sz w:val="24"/>
        </w:rPr>
        <w:t>Applicable information on any preexisting contamination in the soil or groundwater for any industrial or non-industrial pollutants at the facility that may</w:t>
      </w:r>
      <w:r>
        <w:rPr>
          <w:spacing w:val="-5"/>
          <w:sz w:val="24"/>
        </w:rPr>
        <w:t> </w:t>
      </w:r>
      <w:r>
        <w:rPr>
          <w:sz w:val="24"/>
        </w:rPr>
        <w:t>be</w:t>
      </w:r>
      <w:r>
        <w:rPr>
          <w:spacing w:val="-4"/>
          <w:sz w:val="24"/>
        </w:rPr>
        <w:t> </w:t>
      </w:r>
      <w:r>
        <w:rPr>
          <w:sz w:val="24"/>
        </w:rPr>
        <w:t>discharged</w:t>
      </w:r>
      <w:r>
        <w:rPr>
          <w:spacing w:val="-5"/>
          <w:sz w:val="24"/>
        </w:rPr>
        <w:t> </w:t>
      </w:r>
      <w:r>
        <w:rPr>
          <w:sz w:val="24"/>
        </w:rPr>
        <w:t>or</w:t>
      </w:r>
      <w:r>
        <w:rPr>
          <w:spacing w:val="-4"/>
          <w:sz w:val="24"/>
        </w:rPr>
        <w:t> </w:t>
      </w:r>
      <w:r>
        <w:rPr>
          <w:sz w:val="24"/>
        </w:rPr>
        <w:t>mobilized</w:t>
      </w:r>
      <w:r>
        <w:rPr>
          <w:spacing w:val="-5"/>
          <w:sz w:val="24"/>
        </w:rPr>
        <w:t> </w:t>
      </w:r>
      <w:r>
        <w:rPr>
          <w:sz w:val="24"/>
        </w:rPr>
        <w:t>through</w:t>
      </w:r>
      <w:r>
        <w:rPr>
          <w:spacing w:val="-4"/>
          <w:sz w:val="24"/>
        </w:rPr>
        <w:t> </w:t>
      </w:r>
      <w:r>
        <w:rPr>
          <w:sz w:val="24"/>
        </w:rPr>
        <w:t>infiltration</w:t>
      </w:r>
      <w:r>
        <w:rPr>
          <w:spacing w:val="-5"/>
          <w:sz w:val="24"/>
        </w:rPr>
        <w:t> </w:t>
      </w:r>
      <w:r>
        <w:rPr>
          <w:sz w:val="24"/>
        </w:rPr>
        <w:t>to</w:t>
      </w:r>
      <w:r>
        <w:rPr>
          <w:spacing w:val="-4"/>
          <w:sz w:val="24"/>
        </w:rPr>
        <w:t> </w:t>
      </w:r>
      <w:r>
        <w:rPr>
          <w:sz w:val="24"/>
        </w:rPr>
        <w:t>meet</w:t>
      </w:r>
      <w:r>
        <w:rPr>
          <w:spacing w:val="-5"/>
          <w:sz w:val="24"/>
        </w:rPr>
        <w:t> </w:t>
      </w:r>
      <w:r>
        <w:rPr>
          <w:sz w:val="24"/>
        </w:rPr>
        <w:t>the</w:t>
      </w:r>
      <w:r>
        <w:rPr>
          <w:spacing w:val="-4"/>
          <w:sz w:val="24"/>
        </w:rPr>
        <w:t> </w:t>
      </w:r>
      <w:r>
        <w:rPr>
          <w:sz w:val="24"/>
        </w:rPr>
        <w:t>protections</w:t>
      </w:r>
      <w:r>
        <w:rPr>
          <w:spacing w:val="-5"/>
          <w:sz w:val="24"/>
        </w:rPr>
        <w:t> </w:t>
      </w:r>
      <w:r>
        <w:rPr>
          <w:sz w:val="24"/>
        </w:rPr>
        <w:t>in section 3</w:t>
      </w:r>
      <w:r>
        <w:rPr>
          <w:spacing w:val="-1"/>
          <w:sz w:val="24"/>
        </w:rPr>
        <w:t> </w:t>
      </w:r>
      <w:r>
        <w:rPr>
          <w:sz w:val="24"/>
        </w:rPr>
        <w:t>below.</w:t>
      </w:r>
    </w:p>
    <w:p>
      <w:pPr>
        <w:pStyle w:val="BodyText"/>
        <w:spacing w:before="10"/>
        <w:rPr>
          <w:sz w:val="20"/>
        </w:rPr>
      </w:pPr>
    </w:p>
    <w:p>
      <w:pPr>
        <w:pStyle w:val="ListParagraph"/>
        <w:numPr>
          <w:ilvl w:val="2"/>
          <w:numId w:val="42"/>
        </w:numPr>
        <w:tabs>
          <w:tab w:pos="1100" w:val="left" w:leader="none"/>
          <w:tab w:pos="1101" w:val="left" w:leader="none"/>
        </w:tabs>
        <w:spacing w:line="240" w:lineRule="auto" w:before="0" w:after="0"/>
        <w:ind w:left="1100" w:right="1048" w:hanging="821"/>
        <w:jc w:val="left"/>
        <w:rPr>
          <w:sz w:val="24"/>
        </w:rPr>
      </w:pPr>
      <w:r>
        <w:rPr>
          <w:sz w:val="24"/>
        </w:rPr>
        <w:t>The updated Stormwater Pollution Prevention Plan shall be available at the facility</w:t>
      </w:r>
      <w:r>
        <w:rPr>
          <w:spacing w:val="-4"/>
          <w:sz w:val="24"/>
        </w:rPr>
        <w:t> </w:t>
      </w:r>
      <w:r>
        <w:rPr>
          <w:sz w:val="24"/>
        </w:rPr>
        <w:t>seven</w:t>
      </w:r>
      <w:r>
        <w:rPr>
          <w:spacing w:val="-4"/>
          <w:sz w:val="24"/>
        </w:rPr>
        <w:t> </w:t>
      </w:r>
      <w:r>
        <w:rPr>
          <w:sz w:val="24"/>
        </w:rPr>
        <w:t>(7)</w:t>
      </w:r>
      <w:r>
        <w:rPr>
          <w:spacing w:val="-4"/>
          <w:sz w:val="24"/>
        </w:rPr>
        <w:t> </w:t>
      </w:r>
      <w:r>
        <w:rPr>
          <w:sz w:val="24"/>
        </w:rPr>
        <w:t>days</w:t>
      </w:r>
      <w:r>
        <w:rPr>
          <w:spacing w:val="-4"/>
          <w:sz w:val="24"/>
        </w:rPr>
        <w:t> </w:t>
      </w:r>
      <w:r>
        <w:rPr>
          <w:sz w:val="24"/>
        </w:rPr>
        <w:t>prior</w:t>
      </w:r>
      <w:r>
        <w:rPr>
          <w:spacing w:val="-3"/>
          <w:sz w:val="24"/>
        </w:rPr>
        <w:t> </w:t>
      </w:r>
      <w:r>
        <w:rPr>
          <w:sz w:val="24"/>
        </w:rPr>
        <w:t>to</w:t>
      </w:r>
      <w:r>
        <w:rPr>
          <w:spacing w:val="-4"/>
          <w:sz w:val="24"/>
        </w:rPr>
        <w:t> </w:t>
      </w:r>
      <w:r>
        <w:rPr>
          <w:sz w:val="24"/>
        </w:rPr>
        <w:t>the</w:t>
      </w:r>
      <w:r>
        <w:rPr>
          <w:spacing w:val="-4"/>
          <w:sz w:val="24"/>
        </w:rPr>
        <w:t> </w:t>
      </w:r>
      <w:r>
        <w:rPr>
          <w:sz w:val="24"/>
        </w:rPr>
        <w:t>initial</w:t>
      </w:r>
      <w:r>
        <w:rPr>
          <w:spacing w:val="-4"/>
          <w:sz w:val="24"/>
        </w:rPr>
        <w:t> </w:t>
      </w:r>
      <w:r>
        <w:rPr>
          <w:sz w:val="24"/>
        </w:rPr>
        <w:t>operation</w:t>
      </w:r>
      <w:r>
        <w:rPr>
          <w:spacing w:val="-3"/>
          <w:sz w:val="24"/>
        </w:rPr>
        <w:t> </w:t>
      </w:r>
      <w:r>
        <w:rPr>
          <w:sz w:val="24"/>
        </w:rPr>
        <w:t>of</w:t>
      </w:r>
      <w:r>
        <w:rPr>
          <w:spacing w:val="-4"/>
          <w:sz w:val="24"/>
        </w:rPr>
        <w:t> </w:t>
      </w:r>
      <w:r>
        <w:rPr>
          <w:sz w:val="24"/>
        </w:rPr>
        <w:t>the</w:t>
      </w:r>
      <w:r>
        <w:rPr>
          <w:spacing w:val="-4"/>
          <w:sz w:val="24"/>
        </w:rPr>
        <w:t> </w:t>
      </w:r>
      <w:r>
        <w:rPr>
          <w:sz w:val="24"/>
        </w:rPr>
        <w:t>BMP(s).</w:t>
      </w:r>
      <w:r>
        <w:rPr>
          <w:spacing w:val="-4"/>
          <w:sz w:val="24"/>
        </w:rPr>
        <w:t> </w:t>
      </w:r>
      <w:r>
        <w:rPr>
          <w:sz w:val="24"/>
        </w:rPr>
        <w:t>The</w:t>
      </w:r>
      <w:r>
        <w:rPr>
          <w:spacing w:val="-3"/>
          <w:sz w:val="24"/>
        </w:rPr>
        <w:t> </w:t>
      </w:r>
      <w:r>
        <w:rPr>
          <w:sz w:val="24"/>
        </w:rPr>
        <w:t>Discharger shall certify and submit the updated Stormwater Pollution Prevention Plan via SMARTS seven (7) days prior to the initial operation of the</w:t>
      </w:r>
      <w:r>
        <w:rPr>
          <w:spacing w:val="-14"/>
          <w:sz w:val="24"/>
        </w:rPr>
        <w:t> </w:t>
      </w:r>
      <w:r>
        <w:rPr>
          <w:sz w:val="24"/>
        </w:rPr>
        <w:t>BMP(s).</w:t>
      </w:r>
    </w:p>
    <w:p>
      <w:pPr>
        <w:pStyle w:val="BodyText"/>
        <w:spacing w:before="10"/>
        <w:rPr>
          <w:sz w:val="20"/>
        </w:rPr>
      </w:pPr>
    </w:p>
    <w:p>
      <w:pPr>
        <w:pStyle w:val="ListParagraph"/>
        <w:numPr>
          <w:ilvl w:val="2"/>
          <w:numId w:val="42"/>
        </w:numPr>
        <w:tabs>
          <w:tab w:pos="1100" w:val="left" w:leader="none"/>
          <w:tab w:pos="1101" w:val="left" w:leader="none"/>
        </w:tabs>
        <w:spacing w:line="240" w:lineRule="auto" w:before="0" w:after="0"/>
        <w:ind w:left="1100" w:right="1088" w:hanging="821"/>
        <w:jc w:val="left"/>
        <w:rPr>
          <w:sz w:val="24"/>
        </w:rPr>
      </w:pPr>
      <w:r>
        <w:rPr>
          <w:sz w:val="24"/>
        </w:rPr>
        <w:t>The Discharger implementing Compliance Option 2 shall, at a minimum,</w:t>
      </w:r>
      <w:r>
        <w:rPr>
          <w:spacing w:val="-48"/>
          <w:sz w:val="24"/>
        </w:rPr>
        <w:t> </w:t>
      </w:r>
      <w:r>
        <w:rPr>
          <w:sz w:val="24"/>
        </w:rPr>
        <w:t>include the BMP(s) design information from section 1.2 above and the design information for any installed pretreatment</w:t>
      </w:r>
      <w:r>
        <w:rPr>
          <w:spacing w:val="-4"/>
          <w:sz w:val="24"/>
        </w:rPr>
        <w:t> </w:t>
      </w:r>
      <w:r>
        <w:rPr>
          <w:sz w:val="24"/>
        </w:rPr>
        <w:t>systems/devices.</w:t>
      </w:r>
    </w:p>
    <w:p>
      <w:pPr>
        <w:pStyle w:val="BodyText"/>
        <w:spacing w:before="10"/>
        <w:rPr>
          <w:sz w:val="20"/>
        </w:rPr>
      </w:pPr>
    </w:p>
    <w:p>
      <w:pPr>
        <w:pStyle w:val="Heading1"/>
        <w:numPr>
          <w:ilvl w:val="1"/>
          <w:numId w:val="42"/>
        </w:numPr>
        <w:tabs>
          <w:tab w:pos="871" w:val="left" w:leader="none"/>
        </w:tabs>
        <w:spacing w:line="240" w:lineRule="auto" w:before="1" w:after="0"/>
        <w:ind w:left="870" w:right="2455" w:hanging="591"/>
        <w:jc w:val="left"/>
      </w:pPr>
      <w:r>
        <w:rPr/>
        <w:t>Additional Los Angeles Water Board Authorities for</w:t>
      </w:r>
      <w:r>
        <w:rPr>
          <w:spacing w:val="-36"/>
        </w:rPr>
        <w:t> </w:t>
      </w:r>
      <w:r>
        <w:rPr/>
        <w:t>Dischargers Implementing Compliance Option</w:t>
      </w:r>
      <w:r>
        <w:rPr>
          <w:spacing w:val="-1"/>
        </w:rPr>
        <w:t> </w:t>
      </w:r>
      <w:r>
        <w:rPr/>
        <w:t>2.</w:t>
      </w:r>
    </w:p>
    <w:p>
      <w:pPr>
        <w:pStyle w:val="BodyText"/>
        <w:spacing w:before="9"/>
        <w:rPr>
          <w:b/>
          <w:sz w:val="20"/>
        </w:rPr>
      </w:pPr>
    </w:p>
    <w:p>
      <w:pPr>
        <w:pStyle w:val="ListParagraph"/>
        <w:numPr>
          <w:ilvl w:val="2"/>
          <w:numId w:val="42"/>
        </w:numPr>
        <w:tabs>
          <w:tab w:pos="1100" w:val="left" w:leader="none"/>
          <w:tab w:pos="1101" w:val="left" w:leader="none"/>
        </w:tabs>
        <w:spacing w:line="240" w:lineRule="auto" w:before="1" w:after="0"/>
        <w:ind w:left="1100" w:right="1074" w:hanging="821"/>
        <w:jc w:val="left"/>
        <w:rPr>
          <w:sz w:val="24"/>
        </w:rPr>
      </w:pPr>
      <w:r>
        <w:rPr>
          <w:sz w:val="24"/>
        </w:rPr>
        <w:t>The Los Angeles Water Board Executive Officer has the authority to review site- specific information and disapprove any BMP(s) as a permissible compliance option for the Discharger to address groundwater concerns under their Los Angeles Water Board</w:t>
      </w:r>
      <w:r>
        <w:rPr>
          <w:spacing w:val="-1"/>
          <w:sz w:val="24"/>
        </w:rPr>
        <w:t> </w:t>
      </w:r>
      <w:r>
        <w:rPr>
          <w:sz w:val="24"/>
        </w:rPr>
        <w:t>jurisdiction.</w:t>
      </w:r>
    </w:p>
    <w:p>
      <w:pPr>
        <w:pStyle w:val="BodyText"/>
        <w:spacing w:before="10"/>
        <w:rPr>
          <w:sz w:val="20"/>
        </w:rPr>
      </w:pPr>
    </w:p>
    <w:p>
      <w:pPr>
        <w:pStyle w:val="ListParagraph"/>
        <w:numPr>
          <w:ilvl w:val="2"/>
          <w:numId w:val="42"/>
        </w:numPr>
        <w:tabs>
          <w:tab w:pos="1100" w:val="left" w:leader="none"/>
          <w:tab w:pos="1101" w:val="left" w:leader="none"/>
        </w:tabs>
        <w:spacing w:line="240" w:lineRule="auto" w:before="0" w:after="0"/>
        <w:ind w:left="1100" w:right="1231" w:hanging="821"/>
        <w:jc w:val="left"/>
        <w:rPr>
          <w:sz w:val="24"/>
        </w:rPr>
      </w:pPr>
      <w:r>
        <w:rPr>
          <w:sz w:val="24"/>
        </w:rPr>
        <w:t>The Los Angeles Water Board Executive Officer may require the Discharger to modify the site-specific Stormwater Pollution Prevention Plan to demonstrate compliance with Compliance Option 2 or address other regional groundwater concerns. Upon written request of the Los Angeles Water Board Executive Officer, the Discharger shall submit the required Stormwater Pollution Prevention Plan modifications by the required due date, or no later than 90 days, whichever is</w:t>
      </w:r>
      <w:r>
        <w:rPr>
          <w:spacing w:val="-1"/>
          <w:sz w:val="24"/>
        </w:rPr>
        <w:t> </w:t>
      </w:r>
      <w:r>
        <w:rPr>
          <w:sz w:val="24"/>
        </w:rPr>
        <w:t>shortest.</w:t>
      </w:r>
    </w:p>
    <w:p>
      <w:pPr>
        <w:pStyle w:val="BodyText"/>
        <w:spacing w:before="9"/>
        <w:rPr>
          <w:sz w:val="20"/>
        </w:rPr>
      </w:pPr>
    </w:p>
    <w:p>
      <w:pPr>
        <w:pStyle w:val="ListParagraph"/>
        <w:numPr>
          <w:ilvl w:val="2"/>
          <w:numId w:val="42"/>
        </w:numPr>
        <w:tabs>
          <w:tab w:pos="1100" w:val="left" w:leader="none"/>
          <w:tab w:pos="1101" w:val="left" w:leader="none"/>
        </w:tabs>
        <w:spacing w:line="240" w:lineRule="auto" w:before="0" w:after="0"/>
        <w:ind w:left="1100" w:right="1379" w:hanging="821"/>
        <w:jc w:val="left"/>
        <w:rPr>
          <w:sz w:val="24"/>
        </w:rPr>
      </w:pPr>
      <w:r>
        <w:rPr>
          <w:sz w:val="24"/>
        </w:rPr>
        <w:t>The Los Angeles Water Board may require additional information or modifications to the site-specific Stormwater Pollution Prevention Plan and/or BMP(s) to</w:t>
      </w:r>
      <w:r>
        <w:rPr>
          <w:spacing w:val="-2"/>
          <w:sz w:val="24"/>
        </w:rPr>
        <w:t> </w:t>
      </w:r>
      <w:r>
        <w:rPr>
          <w:sz w:val="24"/>
        </w:rPr>
        <w:t>address:</w:t>
      </w:r>
    </w:p>
    <w:p>
      <w:pPr>
        <w:pStyle w:val="BodyText"/>
        <w:spacing w:before="10"/>
        <w:rPr>
          <w:sz w:val="20"/>
        </w:rPr>
      </w:pPr>
    </w:p>
    <w:p>
      <w:pPr>
        <w:pStyle w:val="ListParagraph"/>
        <w:numPr>
          <w:ilvl w:val="3"/>
          <w:numId w:val="42"/>
        </w:numPr>
        <w:tabs>
          <w:tab w:pos="1358" w:val="left" w:leader="none"/>
          <w:tab w:pos="1359" w:val="left" w:leader="none"/>
        </w:tabs>
        <w:spacing w:line="240" w:lineRule="auto" w:before="0" w:after="0"/>
        <w:ind w:left="1358" w:right="0" w:hanging="1079"/>
        <w:jc w:val="left"/>
        <w:rPr>
          <w:sz w:val="24"/>
        </w:rPr>
      </w:pPr>
      <w:r>
        <w:rPr>
          <w:sz w:val="24"/>
        </w:rPr>
        <w:t>Exceedances of applicable water quality</w:t>
      </w:r>
      <w:r>
        <w:rPr>
          <w:spacing w:val="-3"/>
          <w:sz w:val="24"/>
        </w:rPr>
        <w:t> </w:t>
      </w:r>
      <w:r>
        <w:rPr>
          <w:sz w:val="24"/>
        </w:rPr>
        <w:t>objectives;</w:t>
      </w:r>
    </w:p>
    <w:p>
      <w:pPr>
        <w:pStyle w:val="BodyText"/>
        <w:spacing w:before="10"/>
        <w:rPr>
          <w:sz w:val="20"/>
        </w:rPr>
      </w:pPr>
    </w:p>
    <w:p>
      <w:pPr>
        <w:pStyle w:val="ListParagraph"/>
        <w:numPr>
          <w:ilvl w:val="3"/>
          <w:numId w:val="42"/>
        </w:numPr>
        <w:tabs>
          <w:tab w:pos="1359" w:val="left" w:leader="none"/>
          <w:tab w:pos="1360" w:val="left" w:leader="none"/>
        </w:tabs>
        <w:spacing w:line="240" w:lineRule="auto" w:before="0" w:after="0"/>
        <w:ind w:left="1359" w:right="0" w:hanging="1080"/>
        <w:jc w:val="left"/>
        <w:rPr>
          <w:sz w:val="24"/>
        </w:rPr>
      </w:pPr>
      <w:r>
        <w:rPr>
          <w:sz w:val="24"/>
        </w:rPr>
        <w:t>Impacts to groundwater beneficial uses;</w:t>
      </w:r>
      <w:r>
        <w:rPr>
          <w:spacing w:val="-4"/>
          <w:sz w:val="24"/>
        </w:rPr>
        <w:t> </w:t>
      </w:r>
      <w:r>
        <w:rPr>
          <w:sz w:val="24"/>
        </w:rPr>
        <w:t>or,</w:t>
      </w:r>
    </w:p>
    <w:p>
      <w:pPr>
        <w:pStyle w:val="BodyText"/>
        <w:spacing w:before="10"/>
        <w:rPr>
          <w:sz w:val="20"/>
        </w:rPr>
      </w:pPr>
    </w:p>
    <w:p>
      <w:pPr>
        <w:pStyle w:val="ListParagraph"/>
        <w:numPr>
          <w:ilvl w:val="3"/>
          <w:numId w:val="42"/>
        </w:numPr>
        <w:tabs>
          <w:tab w:pos="1359" w:val="left" w:leader="none"/>
          <w:tab w:pos="1360" w:val="left" w:leader="none"/>
        </w:tabs>
        <w:spacing w:line="240" w:lineRule="auto" w:before="0" w:after="0"/>
        <w:ind w:left="1360" w:right="1548" w:hanging="1080"/>
        <w:jc w:val="left"/>
        <w:rPr>
          <w:sz w:val="24"/>
        </w:rPr>
      </w:pPr>
      <w:r>
        <w:rPr>
          <w:sz w:val="24"/>
        </w:rPr>
        <w:t>Impacts to the groundwater quality due to the infiltration of the</w:t>
      </w:r>
      <w:r>
        <w:rPr>
          <w:spacing w:val="-40"/>
          <w:sz w:val="24"/>
        </w:rPr>
        <w:t> </w:t>
      </w:r>
      <w:r>
        <w:rPr>
          <w:sz w:val="24"/>
        </w:rPr>
        <w:t>authorized NSWDs and/or stormwater discharges at the Discharger’s</w:t>
      </w:r>
      <w:r>
        <w:rPr>
          <w:spacing w:val="-17"/>
          <w:sz w:val="24"/>
        </w:rPr>
        <w:t> </w:t>
      </w:r>
      <w:r>
        <w:rPr>
          <w:sz w:val="24"/>
        </w:rPr>
        <w:t>facility.</w:t>
      </w:r>
    </w:p>
    <w:p>
      <w:pPr>
        <w:pStyle w:val="BodyText"/>
        <w:spacing w:before="10"/>
        <w:rPr>
          <w:sz w:val="20"/>
        </w:rPr>
      </w:pPr>
    </w:p>
    <w:p>
      <w:pPr>
        <w:pStyle w:val="ListParagraph"/>
        <w:numPr>
          <w:ilvl w:val="2"/>
          <w:numId w:val="42"/>
        </w:numPr>
        <w:tabs>
          <w:tab w:pos="1100" w:val="left" w:leader="none"/>
          <w:tab w:pos="1101" w:val="left" w:leader="none"/>
        </w:tabs>
        <w:spacing w:line="240" w:lineRule="auto" w:before="0" w:after="0"/>
        <w:ind w:left="1100" w:right="1192" w:hanging="821"/>
        <w:jc w:val="left"/>
        <w:rPr>
          <w:sz w:val="24"/>
        </w:rPr>
      </w:pPr>
      <w:r>
        <w:rPr>
          <w:sz w:val="24"/>
        </w:rPr>
        <w:t>The Los Angeles Water Board Executive Officer may authorize the discontinuation of monitoring for the infiltrated water if no threat to groundwater is</w:t>
      </w:r>
      <w:r>
        <w:rPr>
          <w:spacing w:val="-1"/>
          <w:sz w:val="24"/>
        </w:rPr>
        <w:t> </w:t>
      </w:r>
      <w:r>
        <w:rPr>
          <w:sz w:val="24"/>
        </w:rPr>
        <w:t>determined.</w:t>
      </w:r>
    </w:p>
    <w:p>
      <w:pPr>
        <w:spacing w:after="0" w:line="240" w:lineRule="auto"/>
        <w:jc w:val="left"/>
        <w:rPr>
          <w:sz w:val="24"/>
        </w:rPr>
        <w:sectPr>
          <w:pgSz w:w="12240" w:h="15840"/>
          <w:pgMar w:header="728" w:footer="788" w:top="1540" w:bottom="980" w:left="1160" w:right="420"/>
        </w:sectPr>
      </w:pPr>
    </w:p>
    <w:p>
      <w:pPr>
        <w:pStyle w:val="BodyText"/>
        <w:spacing w:before="11"/>
        <w:rPr>
          <w:sz w:val="15"/>
        </w:rPr>
      </w:pPr>
    </w:p>
    <w:p>
      <w:pPr>
        <w:pStyle w:val="Heading1"/>
        <w:numPr>
          <w:ilvl w:val="0"/>
          <w:numId w:val="38"/>
        </w:numPr>
        <w:tabs>
          <w:tab w:pos="640" w:val="left" w:leader="none"/>
        </w:tabs>
        <w:spacing w:line="240" w:lineRule="auto" w:before="92" w:after="0"/>
        <w:ind w:left="639" w:right="0" w:hanging="360"/>
        <w:jc w:val="left"/>
      </w:pPr>
      <w:r>
        <w:rPr/>
        <w:t>ADDITIONAL REQUIREMENTS.</w:t>
      </w:r>
    </w:p>
    <w:p>
      <w:pPr>
        <w:pStyle w:val="BodyText"/>
        <w:spacing w:before="10"/>
        <w:rPr>
          <w:b/>
          <w:sz w:val="20"/>
        </w:rPr>
      </w:pPr>
    </w:p>
    <w:p>
      <w:pPr>
        <w:pStyle w:val="ListParagraph"/>
        <w:numPr>
          <w:ilvl w:val="1"/>
          <w:numId w:val="38"/>
        </w:numPr>
        <w:tabs>
          <w:tab w:pos="871" w:val="left" w:leader="none"/>
        </w:tabs>
        <w:spacing w:line="240" w:lineRule="auto" w:before="0" w:after="0"/>
        <w:ind w:left="870" w:right="0" w:hanging="591"/>
        <w:jc w:val="left"/>
        <w:rPr>
          <w:b/>
          <w:sz w:val="24"/>
        </w:rPr>
      </w:pPr>
      <w:r>
        <w:rPr>
          <w:b/>
          <w:sz w:val="24"/>
        </w:rPr>
        <w:t>Discharge Prohibitions.</w:t>
      </w:r>
    </w:p>
    <w:p>
      <w:pPr>
        <w:pStyle w:val="BodyText"/>
        <w:rPr>
          <w:b/>
        </w:rPr>
      </w:pPr>
    </w:p>
    <w:p>
      <w:pPr>
        <w:pStyle w:val="BodyText"/>
        <w:ind w:left="870" w:right="2072"/>
      </w:pPr>
      <w:r>
        <w:rPr/>
        <w:t>The following discharges are prohibited for any Discharger implementing Compliance Option 2:</w:t>
      </w:r>
    </w:p>
    <w:p>
      <w:pPr>
        <w:pStyle w:val="BodyText"/>
        <w:spacing w:before="10"/>
        <w:rPr>
          <w:sz w:val="20"/>
        </w:rPr>
      </w:pPr>
    </w:p>
    <w:p>
      <w:pPr>
        <w:pStyle w:val="ListParagraph"/>
        <w:numPr>
          <w:ilvl w:val="2"/>
          <w:numId w:val="38"/>
        </w:numPr>
        <w:tabs>
          <w:tab w:pos="1100" w:val="left" w:leader="none"/>
          <w:tab w:pos="1101" w:val="left" w:leader="none"/>
        </w:tabs>
        <w:spacing w:line="240" w:lineRule="auto" w:before="0" w:after="0"/>
        <w:ind w:left="1100" w:right="1016" w:hanging="821"/>
        <w:jc w:val="left"/>
        <w:rPr>
          <w:sz w:val="24"/>
        </w:rPr>
      </w:pPr>
      <w:r>
        <w:rPr>
          <w:sz w:val="24"/>
        </w:rPr>
        <w:t>Water related to the cleaning and maintenance of the BMP(s) is an unauthorized NSWD; and,</w:t>
      </w:r>
    </w:p>
    <w:p>
      <w:pPr>
        <w:pStyle w:val="BodyText"/>
        <w:spacing w:before="10"/>
        <w:rPr>
          <w:sz w:val="20"/>
        </w:rPr>
      </w:pPr>
    </w:p>
    <w:p>
      <w:pPr>
        <w:pStyle w:val="ListParagraph"/>
        <w:numPr>
          <w:ilvl w:val="2"/>
          <w:numId w:val="38"/>
        </w:numPr>
        <w:tabs>
          <w:tab w:pos="1100" w:val="left" w:leader="none"/>
          <w:tab w:pos="1101" w:val="left" w:leader="none"/>
        </w:tabs>
        <w:spacing w:line="240" w:lineRule="auto" w:before="0" w:after="0"/>
        <w:ind w:left="1100" w:right="1578" w:hanging="821"/>
        <w:jc w:val="left"/>
        <w:rPr>
          <w:sz w:val="24"/>
        </w:rPr>
      </w:pPr>
      <w:r>
        <w:rPr>
          <w:sz w:val="24"/>
        </w:rPr>
        <w:t>Stormwater occurring below the 85th percentile 24-hour storm event and/or NSWDs authorized by section 5 of the</w:t>
      </w:r>
      <w:r>
        <w:rPr>
          <w:spacing w:val="-4"/>
          <w:sz w:val="24"/>
        </w:rPr>
        <w:t> </w:t>
      </w:r>
      <w:r>
        <w:rPr>
          <w:sz w:val="24"/>
        </w:rPr>
        <w:t>Order.</w:t>
      </w:r>
    </w:p>
    <w:p>
      <w:pPr>
        <w:pStyle w:val="BodyText"/>
        <w:spacing w:before="10"/>
        <w:rPr>
          <w:sz w:val="20"/>
        </w:rPr>
      </w:pPr>
    </w:p>
    <w:p>
      <w:pPr>
        <w:pStyle w:val="Heading1"/>
        <w:numPr>
          <w:ilvl w:val="1"/>
          <w:numId w:val="38"/>
        </w:numPr>
        <w:tabs>
          <w:tab w:pos="871" w:val="left" w:leader="none"/>
        </w:tabs>
        <w:spacing w:line="240" w:lineRule="auto" w:before="1" w:after="0"/>
        <w:ind w:left="870" w:right="0" w:hanging="591"/>
        <w:jc w:val="left"/>
      </w:pPr>
      <w:r>
        <w:rPr/>
        <w:t>Pollution Migration</w:t>
      </w:r>
      <w:r>
        <w:rPr>
          <w:spacing w:val="-3"/>
        </w:rPr>
        <w:t> </w:t>
      </w:r>
      <w:r>
        <w:rPr/>
        <w:t>Prohibitions.</w:t>
      </w:r>
    </w:p>
    <w:p>
      <w:pPr>
        <w:pStyle w:val="BodyText"/>
        <w:spacing w:before="11"/>
        <w:rPr>
          <w:b/>
          <w:sz w:val="23"/>
        </w:rPr>
      </w:pPr>
    </w:p>
    <w:p>
      <w:pPr>
        <w:pStyle w:val="BodyText"/>
        <w:ind w:left="870" w:right="1058"/>
      </w:pPr>
      <w:r>
        <w:rPr/>
        <w:t>The migration of pollutants that cause or contribute to the exceedance of a water quality objective in any receiving waters is prohibited. The Discharger shall ensure infiltration BMP(s) implemented for compliance with Compliance Option 2 shall be designed and operated to:</w:t>
      </w:r>
    </w:p>
    <w:p>
      <w:pPr>
        <w:pStyle w:val="BodyText"/>
        <w:spacing w:before="10"/>
        <w:rPr>
          <w:sz w:val="20"/>
        </w:rPr>
      </w:pPr>
    </w:p>
    <w:p>
      <w:pPr>
        <w:pStyle w:val="ListParagraph"/>
        <w:numPr>
          <w:ilvl w:val="2"/>
          <w:numId w:val="38"/>
        </w:numPr>
        <w:tabs>
          <w:tab w:pos="1100" w:val="left" w:leader="none"/>
          <w:tab w:pos="1101" w:val="left" w:leader="none"/>
        </w:tabs>
        <w:spacing w:line="240" w:lineRule="auto" w:before="0" w:after="0"/>
        <w:ind w:left="1100" w:right="1392" w:hanging="821"/>
        <w:jc w:val="left"/>
        <w:rPr>
          <w:sz w:val="24"/>
        </w:rPr>
      </w:pPr>
      <w:r>
        <w:rPr>
          <w:sz w:val="24"/>
        </w:rPr>
        <w:t>Prevent captured and/or infiltrated stormwater from causing or contributing to the exceedance of a water quality</w:t>
      </w:r>
      <w:r>
        <w:rPr>
          <w:spacing w:val="-4"/>
          <w:sz w:val="24"/>
        </w:rPr>
        <w:t> </w:t>
      </w:r>
      <w:r>
        <w:rPr>
          <w:sz w:val="24"/>
        </w:rPr>
        <w:t>objective;</w:t>
      </w:r>
    </w:p>
    <w:p>
      <w:pPr>
        <w:pStyle w:val="BodyText"/>
        <w:spacing w:before="10"/>
        <w:rPr>
          <w:sz w:val="20"/>
        </w:rPr>
      </w:pPr>
    </w:p>
    <w:p>
      <w:pPr>
        <w:pStyle w:val="ListParagraph"/>
        <w:numPr>
          <w:ilvl w:val="2"/>
          <w:numId w:val="38"/>
        </w:numPr>
        <w:tabs>
          <w:tab w:pos="1100" w:val="left" w:leader="none"/>
          <w:tab w:pos="1101" w:val="left" w:leader="none"/>
        </w:tabs>
        <w:spacing w:line="240" w:lineRule="auto" w:before="0" w:after="0"/>
        <w:ind w:left="1100" w:right="1698" w:hanging="821"/>
        <w:jc w:val="left"/>
        <w:rPr>
          <w:sz w:val="24"/>
        </w:rPr>
      </w:pPr>
      <w:r>
        <w:rPr>
          <w:sz w:val="24"/>
        </w:rPr>
        <w:t>Prevent captured and/or infiltrated stormwater from causing a threat to the attainment of the beneficial use(s) of any receiving</w:t>
      </w:r>
      <w:r>
        <w:rPr>
          <w:spacing w:val="-9"/>
          <w:sz w:val="24"/>
        </w:rPr>
        <w:t> </w:t>
      </w:r>
      <w:r>
        <w:rPr>
          <w:sz w:val="24"/>
        </w:rPr>
        <w:t>water;</w:t>
      </w:r>
    </w:p>
    <w:p>
      <w:pPr>
        <w:pStyle w:val="BodyText"/>
        <w:spacing w:before="10"/>
        <w:rPr>
          <w:sz w:val="20"/>
        </w:rPr>
      </w:pPr>
    </w:p>
    <w:p>
      <w:pPr>
        <w:pStyle w:val="ListParagraph"/>
        <w:numPr>
          <w:ilvl w:val="2"/>
          <w:numId w:val="38"/>
        </w:numPr>
        <w:tabs>
          <w:tab w:pos="1100" w:val="left" w:leader="none"/>
          <w:tab w:pos="1101" w:val="left" w:leader="none"/>
        </w:tabs>
        <w:spacing w:line="240" w:lineRule="auto" w:before="0" w:after="0"/>
        <w:ind w:left="1100" w:right="1060" w:hanging="821"/>
        <w:jc w:val="left"/>
        <w:rPr>
          <w:sz w:val="24"/>
        </w:rPr>
      </w:pPr>
      <w:r>
        <w:rPr>
          <w:sz w:val="24"/>
        </w:rPr>
        <w:t>Prevent the migration of existing soil contamination and not interfere with any active remedial activities for existing groundwater contamination in the vicinity of the facility;</w:t>
      </w:r>
      <w:r>
        <w:rPr>
          <w:spacing w:val="-3"/>
          <w:sz w:val="24"/>
        </w:rPr>
        <w:t> </w:t>
      </w:r>
      <w:r>
        <w:rPr>
          <w:sz w:val="24"/>
        </w:rPr>
        <w:t>and,</w:t>
      </w:r>
    </w:p>
    <w:p>
      <w:pPr>
        <w:pStyle w:val="BodyText"/>
        <w:spacing w:before="9"/>
        <w:rPr>
          <w:sz w:val="20"/>
        </w:rPr>
      </w:pPr>
    </w:p>
    <w:p>
      <w:pPr>
        <w:pStyle w:val="ListParagraph"/>
        <w:numPr>
          <w:ilvl w:val="2"/>
          <w:numId w:val="38"/>
        </w:numPr>
        <w:tabs>
          <w:tab w:pos="1100" w:val="left" w:leader="none"/>
          <w:tab w:pos="1101" w:val="left" w:leader="none"/>
        </w:tabs>
        <w:spacing w:line="240" w:lineRule="auto" w:before="0" w:after="0"/>
        <w:ind w:left="1100" w:right="0" w:hanging="822"/>
        <w:jc w:val="left"/>
        <w:rPr>
          <w:sz w:val="24"/>
        </w:rPr>
      </w:pPr>
      <w:r>
        <w:rPr>
          <w:sz w:val="24"/>
        </w:rPr>
        <w:t>Address other similar factors which may degrade receiving</w:t>
      </w:r>
      <w:r>
        <w:rPr>
          <w:spacing w:val="-8"/>
          <w:sz w:val="24"/>
        </w:rPr>
        <w:t> </w:t>
      </w:r>
      <w:r>
        <w:rPr>
          <w:sz w:val="24"/>
        </w:rPr>
        <w:t>waters.</w:t>
      </w:r>
    </w:p>
    <w:p>
      <w:pPr>
        <w:pStyle w:val="BodyText"/>
        <w:spacing w:before="10"/>
        <w:rPr>
          <w:sz w:val="20"/>
        </w:rPr>
      </w:pPr>
    </w:p>
    <w:p>
      <w:pPr>
        <w:pStyle w:val="Heading1"/>
        <w:numPr>
          <w:ilvl w:val="1"/>
          <w:numId w:val="38"/>
        </w:numPr>
        <w:tabs>
          <w:tab w:pos="871" w:val="left" w:leader="none"/>
        </w:tabs>
        <w:spacing w:line="240" w:lineRule="auto" w:before="0" w:after="0"/>
        <w:ind w:left="870" w:right="0" w:hanging="592"/>
        <w:jc w:val="left"/>
      </w:pPr>
      <w:r>
        <w:rPr/>
        <w:t>Infiltration and Water Quality</w:t>
      </w:r>
      <w:r>
        <w:rPr>
          <w:spacing w:val="-2"/>
        </w:rPr>
        <w:t> </w:t>
      </w:r>
      <w:r>
        <w:rPr/>
        <w:t>Protection.</w:t>
      </w:r>
    </w:p>
    <w:p>
      <w:pPr>
        <w:pStyle w:val="BodyText"/>
        <w:spacing w:before="10"/>
        <w:rPr>
          <w:b/>
          <w:sz w:val="20"/>
        </w:rPr>
      </w:pPr>
    </w:p>
    <w:p>
      <w:pPr>
        <w:pStyle w:val="ListParagraph"/>
        <w:numPr>
          <w:ilvl w:val="2"/>
          <w:numId w:val="38"/>
        </w:numPr>
        <w:tabs>
          <w:tab w:pos="1100" w:val="left" w:leader="none"/>
          <w:tab w:pos="1102" w:val="left" w:leader="none"/>
        </w:tabs>
        <w:spacing w:line="240" w:lineRule="auto" w:before="0" w:after="0"/>
        <w:ind w:left="1100" w:right="1992" w:hanging="821"/>
        <w:jc w:val="left"/>
        <w:rPr>
          <w:sz w:val="24"/>
        </w:rPr>
      </w:pPr>
      <w:r>
        <w:rPr>
          <w:sz w:val="24"/>
        </w:rPr>
        <w:t>Infiltration BMP(s) must not cause or contribute to an exceedance of an applicable water quality</w:t>
      </w:r>
      <w:r>
        <w:rPr>
          <w:spacing w:val="-2"/>
          <w:sz w:val="24"/>
        </w:rPr>
        <w:t> </w:t>
      </w:r>
      <w:r>
        <w:rPr>
          <w:sz w:val="24"/>
        </w:rPr>
        <w:t>objective.</w:t>
      </w:r>
    </w:p>
    <w:p>
      <w:pPr>
        <w:pStyle w:val="BodyText"/>
        <w:spacing w:before="10"/>
        <w:rPr>
          <w:sz w:val="20"/>
        </w:rPr>
      </w:pPr>
    </w:p>
    <w:p>
      <w:pPr>
        <w:pStyle w:val="ListParagraph"/>
        <w:numPr>
          <w:ilvl w:val="2"/>
          <w:numId w:val="38"/>
        </w:numPr>
        <w:tabs>
          <w:tab w:pos="1100" w:val="left" w:leader="none"/>
          <w:tab w:pos="1101" w:val="left" w:leader="none"/>
        </w:tabs>
        <w:spacing w:line="240" w:lineRule="auto" w:before="0" w:after="0"/>
        <w:ind w:left="1100" w:right="1329" w:hanging="821"/>
        <w:jc w:val="left"/>
        <w:rPr>
          <w:sz w:val="24"/>
        </w:rPr>
      </w:pPr>
      <w:r>
        <w:rPr>
          <w:sz w:val="24"/>
        </w:rPr>
        <w:t>Infiltration</w:t>
      </w:r>
      <w:r>
        <w:rPr>
          <w:spacing w:val="-6"/>
          <w:sz w:val="24"/>
        </w:rPr>
        <w:t> </w:t>
      </w:r>
      <w:r>
        <w:rPr>
          <w:sz w:val="24"/>
        </w:rPr>
        <w:t>BMP(s)</w:t>
      </w:r>
      <w:r>
        <w:rPr>
          <w:spacing w:val="-6"/>
          <w:sz w:val="24"/>
        </w:rPr>
        <w:t> </w:t>
      </w:r>
      <w:r>
        <w:rPr>
          <w:sz w:val="24"/>
        </w:rPr>
        <w:t>used</w:t>
      </w:r>
      <w:r>
        <w:rPr>
          <w:spacing w:val="-6"/>
          <w:sz w:val="24"/>
        </w:rPr>
        <w:t> </w:t>
      </w:r>
      <w:r>
        <w:rPr>
          <w:sz w:val="24"/>
        </w:rPr>
        <w:t>for</w:t>
      </w:r>
      <w:r>
        <w:rPr>
          <w:spacing w:val="-6"/>
          <w:sz w:val="24"/>
        </w:rPr>
        <w:t> </w:t>
      </w:r>
      <w:r>
        <w:rPr>
          <w:sz w:val="24"/>
        </w:rPr>
        <w:t>Compliance</w:t>
      </w:r>
      <w:r>
        <w:rPr>
          <w:spacing w:val="-6"/>
          <w:sz w:val="24"/>
        </w:rPr>
        <w:t> </w:t>
      </w:r>
      <w:r>
        <w:rPr>
          <w:sz w:val="24"/>
        </w:rPr>
        <w:t>Option</w:t>
      </w:r>
      <w:r>
        <w:rPr>
          <w:spacing w:val="-6"/>
          <w:sz w:val="24"/>
        </w:rPr>
        <w:t> </w:t>
      </w:r>
      <w:r>
        <w:rPr>
          <w:sz w:val="24"/>
        </w:rPr>
        <w:t>2</w:t>
      </w:r>
      <w:r>
        <w:rPr>
          <w:spacing w:val="-6"/>
          <w:sz w:val="24"/>
        </w:rPr>
        <w:t> </w:t>
      </w:r>
      <w:r>
        <w:rPr>
          <w:sz w:val="24"/>
        </w:rPr>
        <w:t>implementation</w:t>
      </w:r>
      <w:r>
        <w:rPr>
          <w:spacing w:val="-5"/>
          <w:sz w:val="24"/>
        </w:rPr>
        <w:t> </w:t>
      </w:r>
      <w:r>
        <w:rPr>
          <w:sz w:val="24"/>
        </w:rPr>
        <w:t>shall</w:t>
      </w:r>
      <w:r>
        <w:rPr>
          <w:spacing w:val="-6"/>
          <w:sz w:val="24"/>
        </w:rPr>
        <w:t> </w:t>
      </w:r>
      <w:r>
        <w:rPr>
          <w:sz w:val="24"/>
        </w:rPr>
        <w:t>comply with applicable local municipal ordinances, stormwater requirements, and design standards for the infiltration of stormwater and authorized NSWDs as listed in section 5 of the</w:t>
      </w:r>
      <w:r>
        <w:rPr>
          <w:spacing w:val="-2"/>
          <w:sz w:val="24"/>
        </w:rPr>
        <w:t> </w:t>
      </w:r>
      <w:r>
        <w:rPr>
          <w:sz w:val="24"/>
        </w:rPr>
        <w:t>Order.</w:t>
      </w:r>
    </w:p>
    <w:p>
      <w:pPr>
        <w:pStyle w:val="BodyText"/>
        <w:spacing w:before="10"/>
        <w:rPr>
          <w:sz w:val="20"/>
        </w:rPr>
      </w:pPr>
    </w:p>
    <w:p>
      <w:pPr>
        <w:pStyle w:val="ListParagraph"/>
        <w:numPr>
          <w:ilvl w:val="2"/>
          <w:numId w:val="38"/>
        </w:numPr>
        <w:tabs>
          <w:tab w:pos="1100" w:val="left" w:leader="none"/>
          <w:tab w:pos="1101" w:val="left" w:leader="none"/>
        </w:tabs>
        <w:spacing w:line="240" w:lineRule="auto" w:before="0" w:after="0"/>
        <w:ind w:left="1100" w:right="1152" w:hanging="821"/>
        <w:jc w:val="left"/>
        <w:rPr>
          <w:sz w:val="24"/>
        </w:rPr>
      </w:pPr>
      <w:r>
        <w:rPr>
          <w:sz w:val="24"/>
        </w:rPr>
        <w:t>The minimum BMP requirements (section 6.1.5 of the Order) shall be implemented to maximize pollution prevention and protection of receiving water quality and beneficial</w:t>
      </w:r>
      <w:r>
        <w:rPr>
          <w:spacing w:val="-1"/>
          <w:sz w:val="24"/>
        </w:rPr>
        <w:t> </w:t>
      </w:r>
      <w:r>
        <w:rPr>
          <w:sz w:val="24"/>
        </w:rPr>
        <w:t>uses.</w:t>
      </w:r>
    </w:p>
    <w:p>
      <w:pPr>
        <w:spacing w:after="0" w:line="240" w:lineRule="auto"/>
        <w:jc w:val="left"/>
        <w:rPr>
          <w:sz w:val="24"/>
        </w:rPr>
        <w:sectPr>
          <w:pgSz w:w="12240" w:h="15840"/>
          <w:pgMar w:header="728" w:footer="788" w:top="1540" w:bottom="980" w:left="1160" w:right="420"/>
        </w:sectPr>
      </w:pPr>
    </w:p>
    <w:p>
      <w:pPr>
        <w:pStyle w:val="BodyText"/>
        <w:spacing w:before="11"/>
        <w:rPr>
          <w:sz w:val="15"/>
        </w:rPr>
      </w:pPr>
    </w:p>
    <w:p>
      <w:pPr>
        <w:pStyle w:val="ListParagraph"/>
        <w:numPr>
          <w:ilvl w:val="2"/>
          <w:numId w:val="38"/>
        </w:numPr>
        <w:tabs>
          <w:tab w:pos="1100" w:val="left" w:leader="none"/>
          <w:tab w:pos="1101" w:val="left" w:leader="none"/>
        </w:tabs>
        <w:spacing w:line="240" w:lineRule="auto" w:before="92" w:after="0"/>
        <w:ind w:left="1100" w:right="1233" w:hanging="821"/>
        <w:jc w:val="left"/>
        <w:rPr>
          <w:sz w:val="24"/>
        </w:rPr>
      </w:pPr>
      <w:r>
        <w:rPr>
          <w:sz w:val="24"/>
        </w:rPr>
        <w:t>The soil through which infiltration occurs must have physical and chemical characteristics necessary to support infiltration rates and stormwater treatment to meet the compliance storm standards in this</w:t>
      </w:r>
      <w:r>
        <w:rPr>
          <w:spacing w:val="-9"/>
          <w:sz w:val="24"/>
        </w:rPr>
        <w:t> </w:t>
      </w:r>
      <w:r>
        <w:rPr>
          <w:sz w:val="24"/>
        </w:rPr>
        <w:t>Attachment.</w:t>
      </w:r>
    </w:p>
    <w:p>
      <w:pPr>
        <w:spacing w:after="0" w:line="240" w:lineRule="auto"/>
        <w:jc w:val="left"/>
        <w:rPr>
          <w:sz w:val="24"/>
        </w:rPr>
        <w:sectPr>
          <w:pgSz w:w="12240" w:h="15840"/>
          <w:pgMar w:header="728" w:footer="788" w:top="1540" w:bottom="980" w:left="1160" w:right="420"/>
        </w:sectPr>
      </w:pPr>
    </w:p>
    <w:p>
      <w:pPr>
        <w:pStyle w:val="BodyText"/>
        <w:spacing w:before="11"/>
        <w:rPr>
          <w:sz w:val="15"/>
        </w:rPr>
      </w:pPr>
    </w:p>
    <w:p>
      <w:pPr>
        <w:pStyle w:val="Heading1"/>
        <w:spacing w:before="92"/>
        <w:ind w:left="286" w:right="775"/>
        <w:jc w:val="center"/>
      </w:pPr>
      <w:r>
        <w:rPr/>
        <w:t>ATTACHMENT J — LIST OF EXISTING TOTAL MAXIMUM DAILY LOADS</w:t>
      </w:r>
    </w:p>
    <w:p>
      <w:pPr>
        <w:spacing w:before="0"/>
        <w:ind w:left="1210" w:right="1947" w:firstLine="0"/>
        <w:jc w:val="center"/>
        <w:rPr>
          <w:b/>
          <w:sz w:val="24"/>
        </w:rPr>
      </w:pPr>
      <w:r>
        <w:rPr>
          <w:b/>
          <w:sz w:val="24"/>
        </w:rPr>
        <w:t>(TMDLS)</w:t>
      </w:r>
    </w:p>
    <w:p>
      <w:pPr>
        <w:pStyle w:val="BodyText"/>
        <w:spacing w:before="10"/>
        <w:rPr>
          <w:b/>
          <w:sz w:val="20"/>
        </w:rPr>
      </w:pPr>
    </w:p>
    <w:p>
      <w:pPr>
        <w:pStyle w:val="BodyText"/>
        <w:ind w:left="280" w:right="1092"/>
      </w:pPr>
      <w:r>
        <w:rPr/>
        <w:t>The following table contains a list of existing TMDLs that are applicable to CII stormwater discharges covered by this General Permit. The listed TMDLs became effective prior to the adoption date of this Order. This Order may be reopened to amend TMDL-specific permit requirements, or to incorporate new TMDLs adopted during the term of this Order that include requirements applicable to Permittees regulated by this Order.</w:t>
      </w:r>
    </w:p>
    <w:p>
      <w:pPr>
        <w:pStyle w:val="BodyText"/>
        <w:spacing w:before="10"/>
        <w:rPr>
          <w:sz w:val="20"/>
        </w:rPr>
      </w:pPr>
    </w:p>
    <w:p>
      <w:pPr>
        <w:pStyle w:val="Heading1"/>
        <w:ind w:left="280"/>
      </w:pPr>
      <w:r>
        <w:rPr/>
        <w:t>Table J-1. List of Applicable TMDLs</w:t>
      </w:r>
    </w:p>
    <w:tbl>
      <w:tblPr>
        <w:tblW w:w="0" w:type="auto"/>
        <w:jc w:val="left"/>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81"/>
        <w:gridCol w:w="3274"/>
        <w:gridCol w:w="3096"/>
      </w:tblGrid>
      <w:tr>
        <w:trPr>
          <w:trHeight w:val="711" w:hRule="atLeast"/>
        </w:trPr>
        <w:tc>
          <w:tcPr>
            <w:tcW w:w="2981" w:type="dxa"/>
            <w:shd w:val="clear" w:color="auto" w:fill="D9D9D9"/>
          </w:tcPr>
          <w:p>
            <w:pPr>
              <w:pStyle w:val="TableParagraph"/>
              <w:spacing w:before="80"/>
              <w:ind w:left="1222" w:right="82" w:hanging="1114"/>
              <w:jc w:val="left"/>
              <w:rPr>
                <w:b/>
                <w:sz w:val="24"/>
              </w:rPr>
            </w:pPr>
            <w:r>
              <w:rPr>
                <w:b/>
                <w:sz w:val="24"/>
              </w:rPr>
              <w:t>Watershed Management Area</w:t>
            </w:r>
          </w:p>
        </w:tc>
        <w:tc>
          <w:tcPr>
            <w:tcW w:w="3274" w:type="dxa"/>
            <w:shd w:val="clear" w:color="auto" w:fill="D9D9D9"/>
          </w:tcPr>
          <w:p>
            <w:pPr>
              <w:pStyle w:val="TableParagraph"/>
              <w:spacing w:before="218"/>
              <w:ind w:left="127" w:right="122"/>
              <w:rPr>
                <w:b/>
                <w:sz w:val="24"/>
              </w:rPr>
            </w:pPr>
            <w:r>
              <w:rPr>
                <w:b/>
                <w:sz w:val="24"/>
              </w:rPr>
              <w:t>TMDLs</w:t>
            </w:r>
          </w:p>
        </w:tc>
        <w:tc>
          <w:tcPr>
            <w:tcW w:w="3096" w:type="dxa"/>
            <w:shd w:val="clear" w:color="auto" w:fill="D9D9D9"/>
          </w:tcPr>
          <w:p>
            <w:pPr>
              <w:pStyle w:val="TableParagraph"/>
              <w:spacing w:before="218"/>
              <w:ind w:left="112" w:right="104"/>
              <w:rPr>
                <w:b/>
                <w:sz w:val="24"/>
              </w:rPr>
            </w:pPr>
            <w:r>
              <w:rPr>
                <w:b/>
                <w:sz w:val="24"/>
              </w:rPr>
              <w:t>Pollutant(s)</w:t>
            </w:r>
          </w:p>
        </w:tc>
      </w:tr>
      <w:tr>
        <w:trPr>
          <w:trHeight w:val="1460" w:hRule="atLeast"/>
        </w:trPr>
        <w:tc>
          <w:tcPr>
            <w:tcW w:w="2981" w:type="dxa"/>
            <w:vMerge w:val="restart"/>
          </w:tcPr>
          <w:p>
            <w:pPr>
              <w:pStyle w:val="TableParagraph"/>
              <w:jc w:val="left"/>
              <w:rPr>
                <w:b/>
                <w:sz w:val="26"/>
              </w:rPr>
            </w:pPr>
          </w:p>
          <w:p>
            <w:pPr>
              <w:pStyle w:val="TableParagraph"/>
              <w:jc w:val="left"/>
              <w:rPr>
                <w:b/>
                <w:sz w:val="26"/>
              </w:rPr>
            </w:pPr>
          </w:p>
          <w:p>
            <w:pPr>
              <w:pStyle w:val="TableParagraph"/>
              <w:jc w:val="left"/>
              <w:rPr>
                <w:b/>
                <w:sz w:val="26"/>
              </w:rPr>
            </w:pPr>
          </w:p>
          <w:p>
            <w:pPr>
              <w:pStyle w:val="TableParagraph"/>
              <w:jc w:val="left"/>
              <w:rPr>
                <w:b/>
                <w:sz w:val="26"/>
              </w:rPr>
            </w:pPr>
          </w:p>
          <w:p>
            <w:pPr>
              <w:pStyle w:val="TableParagraph"/>
              <w:jc w:val="left"/>
              <w:rPr>
                <w:b/>
                <w:sz w:val="26"/>
              </w:rPr>
            </w:pPr>
          </w:p>
          <w:p>
            <w:pPr>
              <w:pStyle w:val="TableParagraph"/>
              <w:spacing w:before="2"/>
              <w:jc w:val="left"/>
              <w:rPr>
                <w:b/>
                <w:sz w:val="21"/>
              </w:rPr>
            </w:pPr>
          </w:p>
          <w:p>
            <w:pPr>
              <w:pStyle w:val="TableParagraph"/>
              <w:ind w:left="154" w:right="145"/>
              <w:rPr>
                <w:sz w:val="24"/>
              </w:rPr>
            </w:pPr>
            <w:r>
              <w:rPr>
                <w:sz w:val="24"/>
              </w:rPr>
              <w:t>Dominguez Channel and Los Angeles/Long Beach Harbor Watershed</w:t>
            </w:r>
          </w:p>
        </w:tc>
        <w:tc>
          <w:tcPr>
            <w:tcW w:w="3274" w:type="dxa"/>
          </w:tcPr>
          <w:p>
            <w:pPr>
              <w:pStyle w:val="TableParagraph"/>
              <w:spacing w:before="41"/>
              <w:ind w:left="293" w:right="287" w:hanging="1"/>
              <w:rPr>
                <w:sz w:val="24"/>
              </w:rPr>
            </w:pPr>
            <w:r>
              <w:rPr>
                <w:sz w:val="24"/>
              </w:rPr>
              <w:t>Dominguez Channel and Inner and Outer Los Angeles and Long Beach Harbor Waters Toxic Pollutants TMDL</w:t>
            </w:r>
          </w:p>
        </w:tc>
        <w:tc>
          <w:tcPr>
            <w:tcW w:w="3096" w:type="dxa"/>
          </w:tcPr>
          <w:p>
            <w:pPr>
              <w:pStyle w:val="TableParagraph"/>
              <w:spacing w:before="41"/>
              <w:ind w:left="113" w:right="104" w:firstLine="2"/>
              <w:rPr>
                <w:sz w:val="24"/>
              </w:rPr>
            </w:pPr>
            <w:r>
              <w:rPr>
                <w:sz w:val="24"/>
              </w:rPr>
              <w:t>Chronic Toxicity, Chlordane, Dieldrin, DDTs, PAHs, PCBs, Cadmium, Chromium, Copper, Lead, Mercury, and Zinc</w:t>
            </w:r>
          </w:p>
        </w:tc>
      </w:tr>
      <w:tr>
        <w:trPr>
          <w:trHeight w:val="1183" w:hRule="atLeast"/>
        </w:trPr>
        <w:tc>
          <w:tcPr>
            <w:tcW w:w="2981" w:type="dxa"/>
            <w:vMerge/>
            <w:tcBorders>
              <w:top w:val="nil"/>
            </w:tcBorders>
          </w:tcPr>
          <w:p>
            <w:pPr>
              <w:rPr>
                <w:sz w:val="2"/>
                <w:szCs w:val="2"/>
              </w:rPr>
            </w:pPr>
          </w:p>
        </w:tc>
        <w:tc>
          <w:tcPr>
            <w:tcW w:w="3274" w:type="dxa"/>
          </w:tcPr>
          <w:p>
            <w:pPr>
              <w:pStyle w:val="TableParagraph"/>
              <w:spacing w:before="41"/>
              <w:ind w:left="127" w:right="118"/>
              <w:rPr>
                <w:sz w:val="24"/>
              </w:rPr>
            </w:pPr>
            <w:r>
              <w:rPr>
                <w:sz w:val="24"/>
              </w:rPr>
              <w:t>Los Angeles Harbor (Inner Cabrillo Beach and Main Ship Channel) Bacteria TMDL</w:t>
            </w:r>
          </w:p>
        </w:tc>
        <w:tc>
          <w:tcPr>
            <w:tcW w:w="3096" w:type="dxa"/>
          </w:tcPr>
          <w:p>
            <w:pPr>
              <w:pStyle w:val="TableParagraph"/>
              <w:spacing w:before="179"/>
              <w:ind w:left="820" w:right="412" w:hanging="380"/>
              <w:jc w:val="left"/>
              <w:rPr>
                <w:sz w:val="24"/>
              </w:rPr>
            </w:pPr>
            <w:r>
              <w:rPr>
                <w:sz w:val="24"/>
              </w:rPr>
              <w:t>Total Coliform, Fecal Coliform, and Enterococcus</w:t>
            </w:r>
          </w:p>
        </w:tc>
      </w:tr>
      <w:tr>
        <w:trPr>
          <w:trHeight w:val="632" w:hRule="atLeast"/>
        </w:trPr>
        <w:tc>
          <w:tcPr>
            <w:tcW w:w="2981" w:type="dxa"/>
            <w:vMerge/>
            <w:tcBorders>
              <w:top w:val="nil"/>
            </w:tcBorders>
          </w:tcPr>
          <w:p>
            <w:pPr>
              <w:rPr>
                <w:sz w:val="2"/>
                <w:szCs w:val="2"/>
              </w:rPr>
            </w:pPr>
          </w:p>
        </w:tc>
        <w:tc>
          <w:tcPr>
            <w:tcW w:w="3274" w:type="dxa"/>
          </w:tcPr>
          <w:p>
            <w:pPr>
              <w:pStyle w:val="TableParagraph"/>
              <w:spacing w:before="41"/>
              <w:ind w:left="1308" w:right="370" w:hanging="916"/>
              <w:jc w:val="left"/>
              <w:rPr>
                <w:sz w:val="24"/>
              </w:rPr>
            </w:pPr>
            <w:r>
              <w:rPr>
                <w:sz w:val="24"/>
              </w:rPr>
              <w:t>Machado Lake Nutrient TMDL</w:t>
            </w:r>
          </w:p>
        </w:tc>
        <w:tc>
          <w:tcPr>
            <w:tcW w:w="3096" w:type="dxa"/>
          </w:tcPr>
          <w:p>
            <w:pPr>
              <w:pStyle w:val="TableParagraph"/>
              <w:spacing w:before="180"/>
              <w:ind w:left="111" w:right="104"/>
              <w:rPr>
                <w:sz w:val="24"/>
              </w:rPr>
            </w:pPr>
            <w:r>
              <w:rPr>
                <w:sz w:val="24"/>
              </w:rPr>
              <w:t>Nitrogen and Phosphorus</w:t>
            </w:r>
          </w:p>
        </w:tc>
      </w:tr>
      <w:tr>
        <w:trPr>
          <w:trHeight w:val="355" w:hRule="atLeast"/>
        </w:trPr>
        <w:tc>
          <w:tcPr>
            <w:tcW w:w="2981" w:type="dxa"/>
            <w:vMerge/>
            <w:tcBorders>
              <w:top w:val="nil"/>
            </w:tcBorders>
          </w:tcPr>
          <w:p>
            <w:pPr>
              <w:rPr>
                <w:sz w:val="2"/>
                <w:szCs w:val="2"/>
              </w:rPr>
            </w:pPr>
          </w:p>
        </w:tc>
        <w:tc>
          <w:tcPr>
            <w:tcW w:w="3274" w:type="dxa"/>
          </w:tcPr>
          <w:p>
            <w:pPr>
              <w:pStyle w:val="TableParagraph"/>
              <w:spacing w:before="41"/>
              <w:ind w:left="127" w:right="122"/>
              <w:rPr>
                <w:sz w:val="24"/>
              </w:rPr>
            </w:pPr>
            <w:r>
              <w:rPr>
                <w:sz w:val="24"/>
              </w:rPr>
              <w:t>Machado Lake Trash TMDL</w:t>
            </w:r>
          </w:p>
        </w:tc>
        <w:tc>
          <w:tcPr>
            <w:tcW w:w="3096" w:type="dxa"/>
          </w:tcPr>
          <w:p>
            <w:pPr>
              <w:pStyle w:val="TableParagraph"/>
              <w:spacing w:before="41"/>
              <w:ind w:left="112" w:right="104"/>
              <w:rPr>
                <w:sz w:val="24"/>
              </w:rPr>
            </w:pPr>
            <w:r>
              <w:rPr>
                <w:sz w:val="24"/>
              </w:rPr>
              <w:t>Trash</w:t>
            </w:r>
          </w:p>
        </w:tc>
      </w:tr>
      <w:tr>
        <w:trPr>
          <w:trHeight w:val="631" w:hRule="atLeast"/>
        </w:trPr>
        <w:tc>
          <w:tcPr>
            <w:tcW w:w="2981" w:type="dxa"/>
            <w:vMerge/>
            <w:tcBorders>
              <w:top w:val="nil"/>
            </w:tcBorders>
          </w:tcPr>
          <w:p>
            <w:pPr>
              <w:rPr>
                <w:sz w:val="2"/>
                <w:szCs w:val="2"/>
              </w:rPr>
            </w:pPr>
          </w:p>
        </w:tc>
        <w:tc>
          <w:tcPr>
            <w:tcW w:w="3274" w:type="dxa"/>
          </w:tcPr>
          <w:p>
            <w:pPr>
              <w:pStyle w:val="TableParagraph"/>
              <w:spacing w:before="40"/>
              <w:ind w:left="735" w:right="242" w:hanging="468"/>
              <w:jc w:val="left"/>
              <w:rPr>
                <w:sz w:val="24"/>
              </w:rPr>
            </w:pPr>
            <w:r>
              <w:rPr>
                <w:sz w:val="24"/>
              </w:rPr>
              <w:t>Machado Lake Pesticides and PCBs TMDL</w:t>
            </w:r>
          </w:p>
        </w:tc>
        <w:tc>
          <w:tcPr>
            <w:tcW w:w="3096" w:type="dxa"/>
          </w:tcPr>
          <w:p>
            <w:pPr>
              <w:pStyle w:val="TableParagraph"/>
              <w:spacing w:before="40"/>
              <w:ind w:left="1007" w:right="85" w:hanging="894"/>
              <w:jc w:val="left"/>
              <w:rPr>
                <w:sz w:val="24"/>
              </w:rPr>
            </w:pPr>
            <w:r>
              <w:rPr>
                <w:sz w:val="24"/>
              </w:rPr>
              <w:t>Chlordane, Dieldrin, DDTs, and PCBs</w:t>
            </w:r>
          </w:p>
        </w:tc>
      </w:tr>
      <w:tr>
        <w:trPr>
          <w:trHeight w:val="1184" w:hRule="atLeast"/>
        </w:trPr>
        <w:tc>
          <w:tcPr>
            <w:tcW w:w="2981" w:type="dxa"/>
            <w:vMerge w:val="restart"/>
          </w:tcPr>
          <w:p>
            <w:pPr>
              <w:pStyle w:val="TableParagraph"/>
              <w:jc w:val="left"/>
              <w:rPr>
                <w:b/>
                <w:sz w:val="26"/>
              </w:rPr>
            </w:pPr>
          </w:p>
          <w:p>
            <w:pPr>
              <w:pStyle w:val="TableParagraph"/>
              <w:spacing w:before="5"/>
              <w:jc w:val="left"/>
              <w:rPr>
                <w:b/>
                <w:sz w:val="29"/>
              </w:rPr>
            </w:pPr>
          </w:p>
          <w:p>
            <w:pPr>
              <w:pStyle w:val="TableParagraph"/>
              <w:ind w:left="429" w:right="82" w:hanging="321"/>
              <w:jc w:val="left"/>
              <w:rPr>
                <w:sz w:val="24"/>
              </w:rPr>
            </w:pPr>
            <w:r>
              <w:rPr>
                <w:sz w:val="24"/>
              </w:rPr>
              <w:t>Alamitos Bay/Los Cerritos Channel Watershed</w:t>
            </w:r>
          </w:p>
        </w:tc>
        <w:tc>
          <w:tcPr>
            <w:tcW w:w="3274" w:type="dxa"/>
          </w:tcPr>
          <w:p>
            <w:pPr>
              <w:pStyle w:val="TableParagraph"/>
              <w:spacing w:before="40"/>
              <w:ind w:left="139" w:right="131" w:hanging="2"/>
              <w:rPr>
                <w:sz w:val="24"/>
              </w:rPr>
            </w:pPr>
            <w:r>
              <w:rPr>
                <w:sz w:val="24"/>
              </w:rPr>
              <w:t>Colorado Lagoon Organochlorine (OC) Pesticides, PCBs, Sediment Toxicity, and Metals TMDL</w:t>
            </w:r>
          </w:p>
        </w:tc>
        <w:tc>
          <w:tcPr>
            <w:tcW w:w="3096" w:type="dxa"/>
          </w:tcPr>
          <w:p>
            <w:pPr>
              <w:pStyle w:val="TableParagraph"/>
              <w:spacing w:before="178"/>
              <w:ind w:left="113" w:right="104"/>
              <w:rPr>
                <w:sz w:val="24"/>
              </w:rPr>
            </w:pPr>
            <w:r>
              <w:rPr>
                <w:sz w:val="24"/>
              </w:rPr>
              <w:t>Chlordane, DDTs, Dieldrin, PAHs, PCBs, Lead, and Zinc</w:t>
            </w:r>
          </w:p>
        </w:tc>
      </w:tr>
      <w:tr>
        <w:trPr>
          <w:trHeight w:val="632" w:hRule="atLeast"/>
        </w:trPr>
        <w:tc>
          <w:tcPr>
            <w:tcW w:w="2981" w:type="dxa"/>
            <w:vMerge/>
            <w:tcBorders>
              <w:top w:val="nil"/>
            </w:tcBorders>
          </w:tcPr>
          <w:p>
            <w:pPr>
              <w:rPr>
                <w:sz w:val="2"/>
                <w:szCs w:val="2"/>
              </w:rPr>
            </w:pPr>
          </w:p>
        </w:tc>
        <w:tc>
          <w:tcPr>
            <w:tcW w:w="3274" w:type="dxa"/>
          </w:tcPr>
          <w:p>
            <w:pPr>
              <w:pStyle w:val="TableParagraph"/>
              <w:spacing w:before="40"/>
              <w:ind w:left="1308" w:right="96" w:hanging="1188"/>
              <w:jc w:val="left"/>
              <w:rPr>
                <w:sz w:val="24"/>
              </w:rPr>
            </w:pPr>
            <w:r>
              <w:rPr>
                <w:sz w:val="24"/>
              </w:rPr>
              <w:t>Los Cerritos Channel Metals TMDL</w:t>
            </w:r>
          </w:p>
        </w:tc>
        <w:tc>
          <w:tcPr>
            <w:tcW w:w="3096" w:type="dxa"/>
          </w:tcPr>
          <w:p>
            <w:pPr>
              <w:pStyle w:val="TableParagraph"/>
              <w:spacing w:before="179"/>
              <w:ind w:left="111" w:right="104"/>
              <w:rPr>
                <w:sz w:val="24"/>
              </w:rPr>
            </w:pPr>
            <w:r>
              <w:rPr>
                <w:sz w:val="24"/>
              </w:rPr>
              <w:t>Copper, Lead, and Zinc</w:t>
            </w:r>
          </w:p>
        </w:tc>
      </w:tr>
    </w:tbl>
    <w:sectPr>
      <w:headerReference w:type="default" r:id="rId79"/>
      <w:footerReference w:type="default" r:id="rId80"/>
      <w:pgSz w:w="12240" w:h="15840"/>
      <w:pgMar w:header="728" w:footer="788" w:top="1540" w:bottom="980" w:left="1160" w:right="4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mbria">
    <w:altName w:val="Cambria"/>
    <w:charset w:val="0"/>
    <w:family w:val="roman"/>
    <w:pitch w:val="variable"/>
  </w:font>
  <w:font w:name="Symbol">
    <w:altName w:val="Symbol"/>
    <w:charset w:val="2"/>
    <w:family w:val="roman"/>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71pt;margin-top:741.616699pt;width:155.35pt;height:15.45pt;mso-position-horizontal-relative:page;mso-position-vertical-relative:page;z-index:-258625536" type="#_x0000_t202" filled="false" stroked="false">
          <v:textbox inset="0,0,0,0">
            <w:txbxContent>
              <w:p>
                <w:pPr>
                  <w:pStyle w:val="BodyText"/>
                  <w:spacing w:before="12"/>
                  <w:ind w:left="20"/>
                </w:pPr>
                <w:r>
                  <w:rPr/>
                  <w:t>ORDER NO. R4-2024-XXXX</w:t>
                </w:r>
              </w:p>
            </w:txbxContent>
          </v:textbox>
          <w10:wrap type="none"/>
        </v:shape>
      </w:pict>
    </w:r>
    <w:r>
      <w:rPr/>
      <w:pict>
        <v:shape style="position:absolute;margin-left:530.283752pt;margin-top:741.616699pt;width:12.7pt;height:15.45pt;mso-position-horizontal-relative:page;mso-position-vertical-relative:page;z-index:-258624512" type="#_x0000_t202" filled="false" stroked="false">
          <v:textbox inset="0,0,0,0">
            <w:txbxContent>
              <w:p>
                <w:pPr>
                  <w:pStyle w:val="BodyText"/>
                  <w:spacing w:before="12"/>
                  <w:ind w:left="60"/>
                </w:pPr>
                <w:r>
                  <w:rPr/>
                  <w:fldChar w:fldCharType="begin"/>
                </w:r>
                <w:r>
                  <w:rPr/>
                  <w:instrText> PAGE </w:instrText>
                </w:r>
                <w:r>
                  <w:rPr/>
                  <w:fldChar w:fldCharType="separate"/>
                </w:r>
                <w:r>
                  <w:rPr/>
                  <w:t>1</w:t>
                </w:r>
                <w:r>
                  <w:rPr/>
                  <w:fldChar w:fldCharType="end"/>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741.616699pt;width:155.35pt;height:15.45pt;mso-position-horizontal-relative:page;mso-position-vertical-relative:page;z-index:-258621440" type="#_x0000_t202" filled="false" stroked="false">
          <v:textbox inset="0,0,0,0">
            <w:txbxContent>
              <w:p>
                <w:pPr>
                  <w:pStyle w:val="BodyText"/>
                  <w:spacing w:before="12"/>
                  <w:ind w:left="20"/>
                </w:pPr>
                <w:r>
                  <w:rPr/>
                  <w:t>ORDER NO. R4-2024-XXXX</w:t>
                </w:r>
              </w:p>
            </w:txbxContent>
          </v:textbox>
          <w10:wrap type="none"/>
        </v:shape>
      </w:pict>
    </w:r>
    <w:r>
      <w:rPr/>
      <w:pict>
        <v:shape style="position:absolute;margin-left:523.623779pt;margin-top:741.616699pt;width:19.350pt;height:15.45pt;mso-position-horizontal-relative:page;mso-position-vertical-relative:page;z-index:-258620416" type="#_x0000_t202" filled="false" stroked="false">
          <v:textbox inset="0,0,0,0">
            <w:txbxContent>
              <w:p>
                <w:pPr>
                  <w:pStyle w:val="BodyText"/>
                  <w:spacing w:before="12"/>
                  <w:ind w:left="60"/>
                </w:pPr>
                <w:r>
                  <w:rPr/>
                  <w:fldChar w:fldCharType="begin"/>
                </w:r>
                <w:r>
                  <w:rPr/>
                  <w:instrText> PAGE </w:instrText>
                </w:r>
                <w:r>
                  <w:rPr/>
                  <w:fldChar w:fldCharType="separate"/>
                </w:r>
                <w:r>
                  <w:rPr/>
                  <w:t>10</w:t>
                </w:r>
                <w:r>
                  <w:rPr/>
                  <w:fldChar w:fldCharType="end"/>
                </w:r>
              </w:p>
            </w:txbxContent>
          </v:textbox>
          <w10:wrap type="non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741.616699pt;width:291.45pt;height:15.45pt;mso-position-horizontal-relative:page;mso-position-vertical-relative:page;z-index:-258617344" type="#_x0000_t202" filled="false" stroked="false">
          <v:textbox inset="0,0,0,0">
            <w:txbxContent>
              <w:p>
                <w:pPr>
                  <w:pStyle w:val="BodyText"/>
                  <w:spacing w:before="12"/>
                  <w:ind w:left="20"/>
                </w:pPr>
                <w:r>
                  <w:rPr/>
                  <w:t>ATTACHMENT A — ACRONYMS AND DEFINITIONS</w:t>
                </w:r>
              </w:p>
            </w:txbxContent>
          </v:textbox>
          <w10:wrap type="none"/>
        </v:shape>
      </w:pict>
    </w:r>
    <w:r>
      <w:rPr/>
      <w:pict>
        <v:shape style="position:absolute;margin-left:513.755066pt;margin-top:741.616699pt;width:29.35pt;height:15.45pt;mso-position-horizontal-relative:page;mso-position-vertical-relative:page;z-index:-258616320" type="#_x0000_t202" filled="false" stroked="false">
          <v:textbox inset="0,0,0,0">
            <w:txbxContent>
              <w:p>
                <w:pPr>
                  <w:pStyle w:val="BodyText"/>
                  <w:spacing w:before="12"/>
                  <w:ind w:left="20"/>
                </w:pPr>
                <w:r>
                  <w:rPr/>
                  <w:t>A-</w:t>
                </w:r>
                <w:r>
                  <w:rPr/>
                  <w:fldChar w:fldCharType="begin"/>
                </w:r>
                <w:r>
                  <w:rPr/>
                  <w:instrText> PAGE </w:instrText>
                </w:r>
                <w:r>
                  <w:rPr/>
                  <w:fldChar w:fldCharType="separate"/>
                </w:r>
                <w:r>
                  <w:rPr/>
                  <w:t>10</w:t>
                </w:r>
                <w:r>
                  <w:rPr/>
                  <w:fldChar w:fldCharType="end"/>
                </w:r>
              </w:p>
            </w:txbxContent>
          </v:textbox>
          <w10:wrap type="non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741.616699pt;width:353.45pt;height:15.45pt;mso-position-horizontal-relative:page;mso-position-vertical-relative:page;z-index:-258613248" type="#_x0000_t202" filled="false" stroked="false">
          <v:textbox inset="0,0,0,0">
            <w:txbxContent>
              <w:p>
                <w:pPr>
                  <w:pStyle w:val="BodyText"/>
                  <w:spacing w:before="12"/>
                  <w:ind w:left="20"/>
                </w:pPr>
                <w:r>
                  <w:rPr/>
                  <w:t>ATTACHMENT B — WATERSHED MANAGEMENT AREA MAPS</w:t>
                </w:r>
              </w:p>
            </w:txbxContent>
          </v:textbox>
          <w10:wrap type="none"/>
        </v:shape>
      </w:pict>
    </w:r>
    <w:r>
      <w:rPr/>
      <w:pict>
        <v:shape style="position:absolute;margin-left:520.406982pt;margin-top:741.616699pt;width:22.7pt;height:15.45pt;mso-position-horizontal-relative:page;mso-position-vertical-relative:page;z-index:-258612224" type="#_x0000_t202" filled="false" stroked="false">
          <v:textbox inset="0,0,0,0">
            <w:txbxContent>
              <w:p>
                <w:pPr>
                  <w:pStyle w:val="BodyText"/>
                  <w:spacing w:before="12"/>
                  <w:ind w:left="20"/>
                </w:pPr>
                <w:r>
                  <w:rPr/>
                  <w:t>B-</w:t>
                </w:r>
                <w:r>
                  <w:rPr/>
                  <w:fldChar w:fldCharType="begin"/>
                </w:r>
                <w:r>
                  <w:rPr/>
                  <w:instrText> PAGE </w:instrText>
                </w:r>
                <w:r>
                  <w:rPr/>
                  <w:fldChar w:fldCharType="separate"/>
                </w:r>
                <w:r>
                  <w:rPr/>
                  <w:t>1</w:t>
                </w:r>
                <w:r>
                  <w:rPr/>
                  <w:fldChar w:fldCharType="end"/>
                </w:r>
              </w:p>
            </w:txbxContent>
          </v:textbox>
          <w10:wrap type="non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741.616699pt;width:426.85pt;height:15.45pt;mso-position-horizontal-relative:page;mso-position-vertical-relative:page;z-index:-258609152" type="#_x0000_t202" filled="false" stroked="false">
          <v:textbox inset="0,0,0,0">
            <w:txbxContent>
              <w:p>
                <w:pPr>
                  <w:pStyle w:val="BodyText"/>
                  <w:spacing w:before="12"/>
                  <w:ind w:left="20"/>
                </w:pPr>
                <w:r>
                  <w:rPr/>
                  <w:t>ATTACHMENT C — LOS ANGELES REGION STORM DRAIN SYSTEM MAPS</w:t>
                </w:r>
              </w:p>
            </w:txbxContent>
          </v:textbox>
          <w10:wrap type="none"/>
        </v:shape>
      </w:pict>
    </w:r>
    <w:r>
      <w:rPr/>
      <w:pict>
        <v:shape style="position:absolute;margin-left:519.732788pt;margin-top:741.616699pt;width:21.35pt;height:15.45pt;mso-position-horizontal-relative:page;mso-position-vertical-relative:page;z-index:-258608128" type="#_x0000_t202" filled="false" stroked="false">
          <v:textbox inset="0,0,0,0">
            <w:txbxContent>
              <w:p>
                <w:pPr>
                  <w:pStyle w:val="BodyText"/>
                  <w:spacing w:before="12"/>
                  <w:ind w:left="20"/>
                </w:pPr>
                <w:r>
                  <w:rPr/>
                  <w:t>C-1</w:t>
                </w:r>
              </w:p>
            </w:txbxContent>
          </v:textbox>
          <w10:wrap type="non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741.616699pt;width:426.85pt;height:15.45pt;mso-position-horizontal-relative:page;mso-position-vertical-relative:page;z-index:-258605056" type="#_x0000_t202" filled="false" stroked="false">
          <v:textbox inset="0,0,0,0">
            <w:txbxContent>
              <w:p>
                <w:pPr>
                  <w:pStyle w:val="BodyText"/>
                  <w:spacing w:before="12"/>
                  <w:ind w:left="20"/>
                </w:pPr>
                <w:r>
                  <w:rPr/>
                  <w:t>ATTACHMENT C — LOS ANGELES REGION STORM DRAIN SYSTEM MAPS</w:t>
                </w:r>
              </w:p>
            </w:txbxContent>
          </v:textbox>
          <w10:wrap type="none"/>
        </v:shape>
      </w:pict>
    </w:r>
    <w:r>
      <w:rPr/>
      <w:pict>
        <v:shape style="position:absolute;margin-left:519.732788pt;margin-top:741.616699pt;width:21.35pt;height:15.45pt;mso-position-horizontal-relative:page;mso-position-vertical-relative:page;z-index:-258604032" type="#_x0000_t202" filled="false" stroked="false">
          <v:textbox inset="0,0,0,0">
            <w:txbxContent>
              <w:p>
                <w:pPr>
                  <w:pStyle w:val="BodyText"/>
                  <w:spacing w:before="12"/>
                  <w:ind w:left="20"/>
                </w:pPr>
                <w:r>
                  <w:rPr/>
                  <w:t>C-2</w:t>
                </w:r>
              </w:p>
            </w:txbxContent>
          </v:textbox>
          <w10:wrap type="none"/>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741.616699pt;width:426.85pt;height:15.45pt;mso-position-horizontal-relative:page;mso-position-vertical-relative:page;z-index:-258600960" type="#_x0000_t202" filled="false" stroked="false">
          <v:textbox inset="0,0,0,0">
            <w:txbxContent>
              <w:p>
                <w:pPr>
                  <w:pStyle w:val="BodyText"/>
                  <w:spacing w:before="12"/>
                  <w:ind w:left="20"/>
                </w:pPr>
                <w:r>
                  <w:rPr/>
                  <w:t>ATTACHMENT C — LOS ANGELES REGION STORM DRAIN SYSTEM MAPS</w:t>
                </w:r>
              </w:p>
            </w:txbxContent>
          </v:textbox>
          <w10:wrap type="none"/>
        </v:shape>
      </w:pict>
    </w:r>
    <w:r>
      <w:rPr/>
      <w:pict>
        <v:shape style="position:absolute;margin-left:519.732788pt;margin-top:741.616699pt;width:21.35pt;height:15.45pt;mso-position-horizontal-relative:page;mso-position-vertical-relative:page;z-index:-258599936" type="#_x0000_t202" filled="false" stroked="false">
          <v:textbox inset="0,0,0,0">
            <w:txbxContent>
              <w:p>
                <w:pPr>
                  <w:pStyle w:val="BodyText"/>
                  <w:spacing w:before="12"/>
                  <w:ind w:left="20"/>
                </w:pPr>
                <w:r>
                  <w:rPr/>
                  <w:t>C-3</w:t>
                </w:r>
              </w:p>
            </w:txbxContent>
          </v:textbox>
          <w10:wrap type="none"/>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741.616699pt;width:258.75pt;height:15.45pt;mso-position-horizontal-relative:page;mso-position-vertical-relative:page;z-index:-258596864" type="#_x0000_t202" filled="false" stroked="false">
          <v:textbox inset="0,0,0,0">
            <w:txbxContent>
              <w:p>
                <w:pPr>
                  <w:pStyle w:val="BodyText"/>
                  <w:spacing w:before="12"/>
                  <w:ind w:left="20"/>
                </w:pPr>
                <w:r>
                  <w:rPr/>
                  <w:t>ATTACHMENT D — STANDARD PROVISIONS</w:t>
                </w:r>
              </w:p>
            </w:txbxContent>
          </v:textbox>
          <w10:wrap type="none"/>
        </v:shape>
      </w:pict>
    </w:r>
    <w:r>
      <w:rPr/>
      <w:pict>
        <v:shape style="position:absolute;margin-left:519.716553pt;margin-top:741.616699pt;width:21.35pt;height:15.45pt;mso-position-horizontal-relative:page;mso-position-vertical-relative:page;z-index:-258595840" type="#_x0000_t202" filled="false" stroked="false">
          <v:textbox inset="0,0,0,0">
            <w:txbxContent>
              <w:p>
                <w:pPr>
                  <w:pStyle w:val="BodyText"/>
                  <w:spacing w:before="12"/>
                  <w:ind w:left="20"/>
                </w:pPr>
                <w:r>
                  <w:rPr/>
                  <w:t>D-1</w:t>
                </w:r>
              </w:p>
            </w:txbxContent>
          </v:textbox>
          <w10:wrap type="none"/>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741.616699pt;width:258.75pt;height:15.45pt;mso-position-horizontal-relative:page;mso-position-vertical-relative:page;z-index:-258592768" type="#_x0000_t202" filled="false" stroked="false">
          <v:textbox inset="0,0,0,0">
            <w:txbxContent>
              <w:p>
                <w:pPr>
                  <w:pStyle w:val="BodyText"/>
                  <w:spacing w:before="12"/>
                  <w:ind w:left="20"/>
                </w:pPr>
                <w:r>
                  <w:rPr/>
                  <w:t>ATTACHMENT D — STANDARD PROVISIONS</w:t>
                </w:r>
              </w:p>
            </w:txbxContent>
          </v:textbox>
          <w10:wrap type="none"/>
        </v:shape>
      </w:pict>
    </w:r>
    <w:r>
      <w:rPr/>
      <w:pict>
        <v:shape style="position:absolute;margin-left:519.716553pt;margin-top:741.616699pt;width:21.35pt;height:15.45pt;mso-position-horizontal-relative:page;mso-position-vertical-relative:page;z-index:-258591744" type="#_x0000_t202" filled="false" stroked="false">
          <v:textbox inset="0,0,0,0">
            <w:txbxContent>
              <w:p>
                <w:pPr>
                  <w:pStyle w:val="BodyText"/>
                  <w:spacing w:before="12"/>
                  <w:ind w:left="20"/>
                </w:pPr>
                <w:r>
                  <w:rPr/>
                  <w:t>D-2</w:t>
                </w:r>
              </w:p>
            </w:txbxContent>
          </v:textbox>
          <w10:wrap type="none"/>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741.616699pt;width:258.75pt;height:15.45pt;mso-position-horizontal-relative:page;mso-position-vertical-relative:page;z-index:-258588672" type="#_x0000_t202" filled="false" stroked="false">
          <v:textbox inset="0,0,0,0">
            <w:txbxContent>
              <w:p>
                <w:pPr>
                  <w:pStyle w:val="BodyText"/>
                  <w:spacing w:before="12"/>
                  <w:ind w:left="20"/>
                </w:pPr>
                <w:r>
                  <w:rPr/>
                  <w:t>ATTACHMENT D — STANDARD PROVISIONS</w:t>
                </w:r>
              </w:p>
            </w:txbxContent>
          </v:textbox>
          <w10:wrap type="none"/>
        </v:shape>
      </w:pict>
    </w:r>
    <w:r>
      <w:rPr/>
      <w:pict>
        <v:shape style="position:absolute;margin-left:519.716553pt;margin-top:741.616699pt;width:21.35pt;height:15.45pt;mso-position-horizontal-relative:page;mso-position-vertical-relative:page;z-index:-258587648" type="#_x0000_t202" filled="false" stroked="false">
          <v:textbox inset="0,0,0,0">
            <w:txbxContent>
              <w:p>
                <w:pPr>
                  <w:pStyle w:val="BodyText"/>
                  <w:spacing w:before="12"/>
                  <w:ind w:left="20"/>
                </w:pPr>
                <w:r>
                  <w:rPr/>
                  <w:t>D-3</w:t>
                </w:r>
              </w:p>
            </w:txbxContent>
          </v:textbox>
          <w10:wrap type="none"/>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741.616699pt;width:258.75pt;height:15.45pt;mso-position-horizontal-relative:page;mso-position-vertical-relative:page;z-index:-258584576" type="#_x0000_t202" filled="false" stroked="false">
          <v:textbox inset="0,0,0,0">
            <w:txbxContent>
              <w:p>
                <w:pPr>
                  <w:pStyle w:val="BodyText"/>
                  <w:spacing w:before="12"/>
                  <w:ind w:left="20"/>
                </w:pPr>
                <w:r>
                  <w:rPr/>
                  <w:t>ATTACHMENT D — STANDARD PROVISIONS</w:t>
                </w:r>
              </w:p>
            </w:txbxContent>
          </v:textbox>
          <w10:wrap type="none"/>
        </v:shape>
      </w:pict>
    </w:r>
    <w:r>
      <w:rPr/>
      <w:pict>
        <v:shape style="position:absolute;margin-left:519.716553pt;margin-top:741.616699pt;width:21.35pt;height:15.45pt;mso-position-horizontal-relative:page;mso-position-vertical-relative:page;z-index:-258583552" type="#_x0000_t202" filled="false" stroked="false">
          <v:textbox inset="0,0,0,0">
            <w:txbxContent>
              <w:p>
                <w:pPr>
                  <w:pStyle w:val="BodyText"/>
                  <w:spacing w:before="12"/>
                  <w:ind w:left="20"/>
                </w:pPr>
                <w:r>
                  <w:rPr/>
                  <w:t>D-4</w:t>
                </w:r>
              </w:p>
            </w:txbxContent>
          </v:textbox>
          <w10:wrap type="none"/>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741.616699pt;width:258.75pt;height:15.45pt;mso-position-horizontal-relative:page;mso-position-vertical-relative:page;z-index:-258580480" type="#_x0000_t202" filled="false" stroked="false">
          <v:textbox inset="0,0,0,0">
            <w:txbxContent>
              <w:p>
                <w:pPr>
                  <w:pStyle w:val="BodyText"/>
                  <w:spacing w:before="12"/>
                  <w:ind w:left="20"/>
                </w:pPr>
                <w:r>
                  <w:rPr/>
                  <w:t>ATTACHMENT D — STANDARD PROVISIONS</w:t>
                </w:r>
              </w:p>
            </w:txbxContent>
          </v:textbox>
          <w10:wrap type="none"/>
        </v:shape>
      </w:pict>
    </w:r>
    <w:r>
      <w:rPr/>
      <w:pict>
        <v:shape style="position:absolute;margin-left:519.716553pt;margin-top:741.616699pt;width:21.35pt;height:15.45pt;mso-position-horizontal-relative:page;mso-position-vertical-relative:page;z-index:-258579456" type="#_x0000_t202" filled="false" stroked="false">
          <v:textbox inset="0,0,0,0">
            <w:txbxContent>
              <w:p>
                <w:pPr>
                  <w:pStyle w:val="BodyText"/>
                  <w:spacing w:before="12"/>
                  <w:ind w:left="20"/>
                </w:pPr>
                <w:r>
                  <w:rPr/>
                  <w:t>D-5</w:t>
                </w:r>
              </w:p>
            </w:txbxContent>
          </v:textbox>
          <w10:wrap type="none"/>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741.616699pt;width:258.75pt;height:15.45pt;mso-position-horizontal-relative:page;mso-position-vertical-relative:page;z-index:-258576384" type="#_x0000_t202" filled="false" stroked="false">
          <v:textbox inset="0,0,0,0">
            <w:txbxContent>
              <w:p>
                <w:pPr>
                  <w:pStyle w:val="BodyText"/>
                  <w:spacing w:before="12"/>
                  <w:ind w:left="20"/>
                </w:pPr>
                <w:r>
                  <w:rPr/>
                  <w:t>ATTACHMENT D — STANDARD PROVISIONS</w:t>
                </w:r>
              </w:p>
            </w:txbxContent>
          </v:textbox>
          <w10:wrap type="none"/>
        </v:shape>
      </w:pict>
    </w:r>
    <w:r>
      <w:rPr/>
      <w:pict>
        <v:shape style="position:absolute;margin-left:519.716553pt;margin-top:741.616699pt;width:21.35pt;height:15.45pt;mso-position-horizontal-relative:page;mso-position-vertical-relative:page;z-index:-258575360" type="#_x0000_t202" filled="false" stroked="false">
          <v:textbox inset="0,0,0,0">
            <w:txbxContent>
              <w:p>
                <w:pPr>
                  <w:pStyle w:val="BodyText"/>
                  <w:spacing w:before="12"/>
                  <w:ind w:left="20"/>
                </w:pPr>
                <w:r>
                  <w:rPr/>
                  <w:t>D-6</w:t>
                </w:r>
              </w:p>
            </w:txbxContent>
          </v:textbox>
          <w10:wrap type="none"/>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741.616699pt;width:258.75pt;height:15.45pt;mso-position-horizontal-relative:page;mso-position-vertical-relative:page;z-index:-258572288" type="#_x0000_t202" filled="false" stroked="false">
          <v:textbox inset="0,0,0,0">
            <w:txbxContent>
              <w:p>
                <w:pPr>
                  <w:pStyle w:val="BodyText"/>
                  <w:spacing w:before="12"/>
                  <w:ind w:left="20"/>
                </w:pPr>
                <w:r>
                  <w:rPr/>
                  <w:t>ATTACHMENT D — STANDARD PROVISIONS</w:t>
                </w:r>
              </w:p>
            </w:txbxContent>
          </v:textbox>
          <w10:wrap type="none"/>
        </v:shape>
      </w:pict>
    </w:r>
    <w:r>
      <w:rPr/>
      <w:pict>
        <v:shape style="position:absolute;margin-left:519.716553pt;margin-top:741.616699pt;width:21.35pt;height:15.45pt;mso-position-horizontal-relative:page;mso-position-vertical-relative:page;z-index:-258571264" type="#_x0000_t202" filled="false" stroked="false">
          <v:textbox inset="0,0,0,0">
            <w:txbxContent>
              <w:p>
                <w:pPr>
                  <w:pStyle w:val="BodyText"/>
                  <w:spacing w:before="12"/>
                  <w:ind w:left="20"/>
                </w:pPr>
                <w:r>
                  <w:rPr/>
                  <w:t>D-7</w:t>
                </w:r>
              </w:p>
            </w:txbxContent>
          </v:textbox>
          <w10:wrap type="none"/>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741.616699pt;width:258.75pt;height:15.45pt;mso-position-horizontal-relative:page;mso-position-vertical-relative:page;z-index:-258568192" type="#_x0000_t202" filled="false" stroked="false">
          <v:textbox inset="0,0,0,0">
            <w:txbxContent>
              <w:p>
                <w:pPr>
                  <w:pStyle w:val="BodyText"/>
                  <w:spacing w:before="12"/>
                  <w:ind w:left="20"/>
                </w:pPr>
                <w:r>
                  <w:rPr/>
                  <w:t>ATTACHMENT D — STANDARD PROVISIONS</w:t>
                </w:r>
              </w:p>
            </w:txbxContent>
          </v:textbox>
          <w10:wrap type="none"/>
        </v:shape>
      </w:pict>
    </w:r>
    <w:r>
      <w:rPr/>
      <w:pict>
        <v:shape style="position:absolute;margin-left:519.716553pt;margin-top:741.616699pt;width:21.35pt;height:15.45pt;mso-position-horizontal-relative:page;mso-position-vertical-relative:page;z-index:-258567168" type="#_x0000_t202" filled="false" stroked="false">
          <v:textbox inset="0,0,0,0">
            <w:txbxContent>
              <w:p>
                <w:pPr>
                  <w:pStyle w:val="BodyText"/>
                  <w:spacing w:before="12"/>
                  <w:ind w:left="20"/>
                </w:pPr>
                <w:r>
                  <w:rPr/>
                  <w:t>D-8</w:t>
                </w:r>
              </w:p>
            </w:txbxContent>
          </v:textbox>
          <w10:wrap type="none"/>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741.616699pt;width:258.75pt;height:15.45pt;mso-position-horizontal-relative:page;mso-position-vertical-relative:page;z-index:-258564096" type="#_x0000_t202" filled="false" stroked="false">
          <v:textbox inset="0,0,0,0">
            <w:txbxContent>
              <w:p>
                <w:pPr>
                  <w:pStyle w:val="BodyText"/>
                  <w:spacing w:before="12"/>
                  <w:ind w:left="20"/>
                </w:pPr>
                <w:r>
                  <w:rPr/>
                  <w:t>ATTACHMENT D — STANDARD PROVISIONS</w:t>
                </w:r>
              </w:p>
            </w:txbxContent>
          </v:textbox>
          <w10:wrap type="none"/>
        </v:shape>
      </w:pict>
    </w:r>
    <w:r>
      <w:rPr/>
      <w:pict>
        <v:shape style="position:absolute;margin-left:519.716553pt;margin-top:741.616699pt;width:21.35pt;height:15.45pt;mso-position-horizontal-relative:page;mso-position-vertical-relative:page;z-index:-258563072" type="#_x0000_t202" filled="false" stroked="false">
          <v:textbox inset="0,0,0,0">
            <w:txbxContent>
              <w:p>
                <w:pPr>
                  <w:pStyle w:val="BodyText"/>
                  <w:spacing w:before="12"/>
                  <w:ind w:left="20"/>
                </w:pPr>
                <w:r>
                  <w:rPr/>
                  <w:t>D-9</w:t>
                </w:r>
              </w:p>
            </w:txbxContent>
          </v:textbox>
          <w10:wrap type="none"/>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741.616699pt;width:258.75pt;height:15.45pt;mso-position-horizontal-relative:page;mso-position-vertical-relative:page;z-index:-258560000" type="#_x0000_t202" filled="false" stroked="false">
          <v:textbox inset="0,0,0,0">
            <w:txbxContent>
              <w:p>
                <w:pPr>
                  <w:pStyle w:val="BodyText"/>
                  <w:spacing w:before="12"/>
                  <w:ind w:left="20"/>
                </w:pPr>
                <w:r>
                  <w:rPr/>
                  <w:t>ATTACHMENT D — STANDARD PROVISIONS</w:t>
                </w:r>
              </w:p>
            </w:txbxContent>
          </v:textbox>
          <w10:wrap type="none"/>
        </v:shape>
      </w:pict>
    </w:r>
    <w:r>
      <w:rPr/>
      <w:pict>
        <v:shape style="position:absolute;margin-left:513.056519pt;margin-top:741.616699pt;width:28pt;height:15.45pt;mso-position-horizontal-relative:page;mso-position-vertical-relative:page;z-index:-258558976" type="#_x0000_t202" filled="false" stroked="false">
          <v:textbox inset="0,0,0,0">
            <w:txbxContent>
              <w:p>
                <w:pPr>
                  <w:pStyle w:val="BodyText"/>
                  <w:spacing w:before="12"/>
                  <w:ind w:left="20"/>
                </w:pPr>
                <w:r>
                  <w:rPr/>
                  <w:t>D-10</w:t>
                </w:r>
              </w:p>
            </w:txbxContent>
          </v:textbox>
          <w10:wrap type="none"/>
        </v:shape>
      </w:pic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741.616699pt;width:258.75pt;height:15.45pt;mso-position-horizontal-relative:page;mso-position-vertical-relative:page;z-index:-258555904" type="#_x0000_t202" filled="false" stroked="false">
          <v:textbox inset="0,0,0,0">
            <w:txbxContent>
              <w:p>
                <w:pPr>
                  <w:pStyle w:val="BodyText"/>
                  <w:spacing w:before="12"/>
                  <w:ind w:left="20"/>
                </w:pPr>
                <w:r>
                  <w:rPr/>
                  <w:t>ATTACHMENT D — STANDARD PROVISIONS</w:t>
                </w:r>
              </w:p>
            </w:txbxContent>
          </v:textbox>
          <w10:wrap type="none"/>
        </v:shape>
      </w:pict>
    </w:r>
    <w:r>
      <w:rPr/>
      <w:pict>
        <v:shape style="position:absolute;margin-left:513.056519pt;margin-top:741.616699pt;width:28pt;height:15.45pt;mso-position-horizontal-relative:page;mso-position-vertical-relative:page;z-index:-258554880" type="#_x0000_t202" filled="false" stroked="false">
          <v:textbox inset="0,0,0,0">
            <w:txbxContent>
              <w:p>
                <w:pPr>
                  <w:pStyle w:val="BodyText"/>
                  <w:spacing w:before="12"/>
                  <w:ind w:left="20"/>
                </w:pPr>
                <w:r>
                  <w:rPr/>
                  <w:t>D-11</w:t>
                </w:r>
              </w:p>
            </w:txbxContent>
          </v:textbox>
          <w10:wrap type="none"/>
        </v:shape>
      </w:pic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741.616699pt;width:258.75pt;height:15.45pt;mso-position-horizontal-relative:page;mso-position-vertical-relative:page;z-index:-258551808" type="#_x0000_t202" filled="false" stroked="false">
          <v:textbox inset="0,0,0,0">
            <w:txbxContent>
              <w:p>
                <w:pPr>
                  <w:pStyle w:val="BodyText"/>
                  <w:spacing w:before="12"/>
                  <w:ind w:left="20"/>
                </w:pPr>
                <w:r>
                  <w:rPr/>
                  <w:t>ATTACHMENT D — STANDARD PROVISIONS</w:t>
                </w:r>
              </w:p>
            </w:txbxContent>
          </v:textbox>
          <w10:wrap type="none"/>
        </v:shape>
      </w:pict>
    </w:r>
    <w:r>
      <w:rPr/>
      <w:pict>
        <v:shape style="position:absolute;margin-left:513.056519pt;margin-top:741.616699pt;width:28pt;height:15.45pt;mso-position-horizontal-relative:page;mso-position-vertical-relative:page;z-index:-258550784" type="#_x0000_t202" filled="false" stroked="false">
          <v:textbox inset="0,0,0,0">
            <w:txbxContent>
              <w:p>
                <w:pPr>
                  <w:pStyle w:val="BodyText"/>
                  <w:spacing w:before="12"/>
                  <w:ind w:left="20"/>
                </w:pPr>
                <w:r>
                  <w:rPr/>
                  <w:t>D-12</w:t>
                </w:r>
              </w:p>
            </w:txbxContent>
          </v:textbox>
          <w10:wrap type="none"/>
        </v:shape>
      </w:pict>
    </w: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741.616699pt;width:258.75pt;height:15.45pt;mso-position-horizontal-relative:page;mso-position-vertical-relative:page;z-index:-258547712" type="#_x0000_t202" filled="false" stroked="false">
          <v:textbox inset="0,0,0,0">
            <w:txbxContent>
              <w:p>
                <w:pPr>
                  <w:pStyle w:val="BodyText"/>
                  <w:spacing w:before="12"/>
                  <w:ind w:left="20"/>
                </w:pPr>
                <w:r>
                  <w:rPr/>
                  <w:t>ATTACHMENT D — STANDARD PROVISIONS</w:t>
                </w:r>
              </w:p>
            </w:txbxContent>
          </v:textbox>
          <w10:wrap type="none"/>
        </v:shape>
      </w:pict>
    </w:r>
    <w:r>
      <w:rPr/>
      <w:pict>
        <v:shape style="position:absolute;margin-left:513.056519pt;margin-top:741.616699pt;width:28pt;height:15.45pt;mso-position-horizontal-relative:page;mso-position-vertical-relative:page;z-index:-258546688" type="#_x0000_t202" filled="false" stroked="false">
          <v:textbox inset="0,0,0,0">
            <w:txbxContent>
              <w:p>
                <w:pPr>
                  <w:pStyle w:val="BodyText"/>
                  <w:spacing w:before="12"/>
                  <w:ind w:left="20"/>
                </w:pPr>
                <w:r>
                  <w:rPr/>
                  <w:t>D-13</w:t>
                </w:r>
              </w:p>
            </w:txbxContent>
          </v:textbox>
          <w10:wrap type="none"/>
        </v:shape>
      </w:pict>
    </w: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741.616699pt;width:258.75pt;height:15.45pt;mso-position-horizontal-relative:page;mso-position-vertical-relative:page;z-index:-258543616" type="#_x0000_t202" filled="false" stroked="false">
          <v:textbox inset="0,0,0,0">
            <w:txbxContent>
              <w:p>
                <w:pPr>
                  <w:pStyle w:val="BodyText"/>
                  <w:spacing w:before="12"/>
                  <w:ind w:left="20"/>
                </w:pPr>
                <w:r>
                  <w:rPr/>
                  <w:t>ATTACHMENT D — STANDARD PROVISIONS</w:t>
                </w:r>
              </w:p>
            </w:txbxContent>
          </v:textbox>
          <w10:wrap type="none"/>
        </v:shape>
      </w:pict>
    </w:r>
    <w:r>
      <w:rPr/>
      <w:pict>
        <v:shape style="position:absolute;margin-left:513.056519pt;margin-top:741.616699pt;width:28pt;height:15.45pt;mso-position-horizontal-relative:page;mso-position-vertical-relative:page;z-index:-258542592" type="#_x0000_t202" filled="false" stroked="false">
          <v:textbox inset="0,0,0,0">
            <w:txbxContent>
              <w:p>
                <w:pPr>
                  <w:pStyle w:val="BodyText"/>
                  <w:spacing w:before="12"/>
                  <w:ind w:left="20"/>
                </w:pPr>
                <w:r>
                  <w:rPr/>
                  <w:t>D-14</w:t>
                </w:r>
              </w:p>
            </w:txbxContent>
          </v:textbox>
          <w10:wrap type="none"/>
        </v:shape>
      </w:pic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741.616699pt;width:258.75pt;height:15.45pt;mso-position-horizontal-relative:page;mso-position-vertical-relative:page;z-index:-258539520" type="#_x0000_t202" filled="false" stroked="false">
          <v:textbox inset="0,0,0,0">
            <w:txbxContent>
              <w:p>
                <w:pPr>
                  <w:pStyle w:val="BodyText"/>
                  <w:spacing w:before="12"/>
                  <w:ind w:left="20"/>
                </w:pPr>
                <w:r>
                  <w:rPr/>
                  <w:t>ATTACHMENT D — STANDARD PROVISIONS</w:t>
                </w:r>
              </w:p>
            </w:txbxContent>
          </v:textbox>
          <w10:wrap type="none"/>
        </v:shape>
      </w:pict>
    </w:r>
    <w:r>
      <w:rPr/>
      <w:pict>
        <v:shape style="position:absolute;margin-left:513.056519pt;margin-top:741.616699pt;width:28pt;height:15.45pt;mso-position-horizontal-relative:page;mso-position-vertical-relative:page;z-index:-258538496" type="#_x0000_t202" filled="false" stroked="false">
          <v:textbox inset="0,0,0,0">
            <w:txbxContent>
              <w:p>
                <w:pPr>
                  <w:pStyle w:val="BodyText"/>
                  <w:spacing w:before="12"/>
                  <w:ind w:left="20"/>
                </w:pPr>
                <w:r>
                  <w:rPr/>
                  <w:t>D-15</w:t>
                </w:r>
              </w:p>
            </w:txbxContent>
          </v:textbox>
          <w10:wrap type="none"/>
        </v:shape>
      </w:pict>
    </w: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741.616699pt;width:360.65pt;height:15.45pt;mso-position-horizontal-relative:page;mso-position-vertical-relative:page;z-index:-258535424" type="#_x0000_t202" filled="false" stroked="false">
          <v:textbox inset="0,0,0,0">
            <w:txbxContent>
              <w:p>
                <w:pPr>
                  <w:pStyle w:val="BodyText"/>
                  <w:spacing w:before="12"/>
                  <w:ind w:left="20"/>
                </w:pPr>
                <w:r>
                  <w:rPr/>
                  <w:t>ATTACHMENT E — MONITORING AND REPORTING PROGRAM</w:t>
                </w:r>
              </w:p>
            </w:txbxContent>
          </v:textbox>
          <w10:wrap type="none"/>
        </v:shape>
      </w:pict>
    </w:r>
    <w:r>
      <w:rPr/>
      <w:pict>
        <v:shape style="position:absolute;margin-left:513.653931pt;margin-top:741.616699pt;width:29.4pt;height:15.45pt;mso-position-horizontal-relative:page;mso-position-vertical-relative:page;z-index:-258534400" type="#_x0000_t202" filled="false" stroked="false">
          <v:textbox inset="0,0,0,0">
            <w:txbxContent>
              <w:p>
                <w:pPr>
                  <w:pStyle w:val="BodyText"/>
                  <w:spacing w:before="12"/>
                  <w:ind w:left="20"/>
                </w:pPr>
                <w:r>
                  <w:rPr/>
                  <w:t>E-</w:t>
                </w:r>
                <w:r>
                  <w:rPr/>
                  <w:fldChar w:fldCharType="begin"/>
                </w:r>
                <w:r>
                  <w:rPr/>
                  <w:instrText> PAGE </w:instrText>
                </w:r>
                <w:r>
                  <w:rPr/>
                  <w:fldChar w:fldCharType="separate"/>
                </w:r>
                <w:r>
                  <w:rPr/>
                  <w:t>10</w:t>
                </w:r>
                <w:r>
                  <w:rPr/>
                  <w:fldChar w:fldCharType="end"/>
                </w:r>
              </w:p>
            </w:txbxContent>
          </v:textbox>
          <w10:wrap type="none"/>
        </v:shape>
      </w:pict>
    </w: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741.616699pt;width:188.1pt;height:15.45pt;mso-position-horizontal-relative:page;mso-position-vertical-relative:page;z-index:-258531328" type="#_x0000_t202" filled="false" stroked="false">
          <v:textbox inset="0,0,0,0">
            <w:txbxContent>
              <w:p>
                <w:pPr>
                  <w:pStyle w:val="BodyText"/>
                  <w:spacing w:before="12"/>
                  <w:ind w:left="20"/>
                </w:pPr>
                <w:r>
                  <w:rPr/>
                  <w:t>ATTACHMENT F — FACT SHEET</w:t>
                </w:r>
              </w:p>
            </w:txbxContent>
          </v:textbox>
          <w10:wrap type="none"/>
        </v:shape>
      </w:pict>
    </w:r>
    <w:r>
      <w:rPr/>
      <w:pict>
        <v:shape style="position:absolute;margin-left:514.443848pt;margin-top:741.616699pt;width:28.7pt;height:15.45pt;mso-position-horizontal-relative:page;mso-position-vertical-relative:page;z-index:-258530304" type="#_x0000_t202" filled="false" stroked="false">
          <v:textbox inset="0,0,0,0">
            <w:txbxContent>
              <w:p>
                <w:pPr>
                  <w:pStyle w:val="BodyText"/>
                  <w:spacing w:before="12"/>
                  <w:ind w:left="20"/>
                </w:pPr>
                <w:r>
                  <w:rPr/>
                  <w:t>F-</w:t>
                </w:r>
                <w:r>
                  <w:rPr/>
                  <w:fldChar w:fldCharType="begin"/>
                </w:r>
                <w:r>
                  <w:rPr/>
                  <w:instrText> PAGE </w:instrText>
                </w:r>
                <w:r>
                  <w:rPr/>
                  <w:fldChar w:fldCharType="separate"/>
                </w:r>
                <w:r>
                  <w:rPr/>
                  <w:t>10</w:t>
                </w:r>
                <w:r>
                  <w:rPr/>
                  <w:fldChar w:fldCharType="end"/>
                </w:r>
              </w:p>
            </w:txbxContent>
          </v:textbox>
          <w10:wrap type="none"/>
        </v:shape>
      </w:pic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58527232" from="72pt,573.900024pt" to="216pt,573.900024pt" stroked="true" strokeweight=".600010pt" strokecolor="#000000">
          <v:stroke dashstyle="solid"/>
          <w10:wrap type="none"/>
        </v:line>
      </w:pict>
    </w:r>
    <w:r>
      <w:rPr/>
      <w:pict>
        <v:shape style="position:absolute;margin-left:71pt;margin-top:741.616699pt;width:188.1pt;height:15.45pt;mso-position-horizontal-relative:page;mso-position-vertical-relative:page;z-index:-258526208" type="#_x0000_t202" filled="false" stroked="false">
          <v:textbox inset="0,0,0,0">
            <w:txbxContent>
              <w:p>
                <w:pPr>
                  <w:pStyle w:val="BodyText"/>
                  <w:spacing w:before="12"/>
                  <w:ind w:left="20"/>
                </w:pPr>
                <w:r>
                  <w:rPr/>
                  <w:t>ATTACHMENT F — FACT SHEET</w:t>
                </w:r>
              </w:p>
            </w:txbxContent>
          </v:textbox>
          <w10:wrap type="none"/>
        </v:shape>
      </w:pict>
    </w:r>
    <w:r>
      <w:rPr/>
      <w:pict>
        <v:shape style="position:absolute;margin-left:514.443848pt;margin-top:741.616699pt;width:26.7pt;height:15.45pt;mso-position-horizontal-relative:page;mso-position-vertical-relative:page;z-index:-258525184" type="#_x0000_t202" filled="false" stroked="false">
          <v:textbox inset="0,0,0,0">
            <w:txbxContent>
              <w:p>
                <w:pPr>
                  <w:pStyle w:val="BodyText"/>
                  <w:spacing w:before="12"/>
                  <w:ind w:left="20"/>
                </w:pPr>
                <w:r>
                  <w:rPr/>
                  <w:t>F-28</w:t>
                </w:r>
              </w:p>
            </w:txbxContent>
          </v:textbox>
          <w10:wrap type="none"/>
        </v:shape>
      </w:pict>
    </w: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741.616699pt;width:188.1pt;height:15.45pt;mso-position-horizontal-relative:page;mso-position-vertical-relative:page;z-index:-258522112" type="#_x0000_t202" filled="false" stroked="false">
          <v:textbox inset="0,0,0,0">
            <w:txbxContent>
              <w:p>
                <w:pPr>
                  <w:pStyle w:val="BodyText"/>
                  <w:spacing w:before="12"/>
                  <w:ind w:left="20"/>
                </w:pPr>
                <w:r>
                  <w:rPr/>
                  <w:t>ATTACHMENT F — FACT SHEET</w:t>
                </w:r>
              </w:p>
            </w:txbxContent>
          </v:textbox>
          <w10:wrap type="none"/>
        </v:shape>
      </w:pict>
    </w:r>
    <w:r>
      <w:rPr/>
      <w:pict>
        <v:shape style="position:absolute;margin-left:514.443848pt;margin-top:741.616699pt;width:28.7pt;height:15.45pt;mso-position-horizontal-relative:page;mso-position-vertical-relative:page;z-index:-258521088" type="#_x0000_t202" filled="false" stroked="false">
          <v:textbox inset="0,0,0,0">
            <w:txbxContent>
              <w:p>
                <w:pPr>
                  <w:pStyle w:val="BodyText"/>
                  <w:spacing w:before="12"/>
                  <w:ind w:left="20"/>
                </w:pPr>
                <w:r>
                  <w:rPr/>
                  <w:t>F-</w:t>
                </w:r>
                <w:r>
                  <w:rPr/>
                  <w:fldChar w:fldCharType="begin"/>
                </w:r>
                <w:r>
                  <w:rPr/>
                  <w:instrText> PAGE </w:instrText>
                </w:r>
                <w:r>
                  <w:rPr/>
                  <w:fldChar w:fldCharType="separate"/>
                </w:r>
                <w:r>
                  <w:rPr/>
                  <w:t>29</w:t>
                </w:r>
                <w:r>
                  <w:rPr/>
                  <w:fldChar w:fldCharType="end"/>
                </w:r>
              </w:p>
            </w:txbxContent>
          </v:textbox>
          <w10:wrap type="none"/>
        </v:shape>
      </w:pict>
    </w: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741.616699pt;width:334.8pt;height:15.45pt;mso-position-horizontal-relative:page;mso-position-vertical-relative:page;z-index:-258518016" type="#_x0000_t202" filled="false" stroked="false">
          <v:textbox inset="0,0,0,0">
            <w:txbxContent>
              <w:p>
                <w:pPr>
                  <w:pStyle w:val="BodyText"/>
                  <w:spacing w:before="12"/>
                  <w:ind w:left="20"/>
                </w:pPr>
                <w:r>
                  <w:rPr/>
                  <w:t>ATTACHMENT G — PERMIT REGISTRATION DOCUMENTS</w:t>
                </w:r>
              </w:p>
            </w:txbxContent>
          </v:textbox>
          <w10:wrap type="none"/>
        </v:shape>
      </w:pict>
    </w:r>
    <w:r>
      <w:rPr/>
      <w:pict>
        <v:shape style="position:absolute;margin-left:519.111511pt;margin-top:741.616699pt;width:24.05pt;height:15.45pt;mso-position-horizontal-relative:page;mso-position-vertical-relative:page;z-index:-258516992" type="#_x0000_t202" filled="false" stroked="false">
          <v:textbox inset="0,0,0,0">
            <w:txbxContent>
              <w:p>
                <w:pPr>
                  <w:pStyle w:val="BodyText"/>
                  <w:spacing w:before="12"/>
                  <w:ind w:left="20"/>
                </w:pPr>
                <w:r>
                  <w:rPr/>
                  <w:t>G-</w:t>
                </w:r>
                <w:r>
                  <w:rPr/>
                  <w:fldChar w:fldCharType="begin"/>
                </w:r>
                <w:r>
                  <w:rPr/>
                  <w:instrText> PAGE </w:instrText>
                </w:r>
                <w:r>
                  <w:rPr/>
                  <w:fldChar w:fldCharType="separate"/>
                </w:r>
                <w:r>
                  <w:rPr/>
                  <w:t>1</w:t>
                </w:r>
                <w:r>
                  <w:rPr/>
                  <w:fldChar w:fldCharType="end"/>
                </w:r>
              </w:p>
            </w:txbxContent>
          </v:textbox>
          <w10:wrap type="none"/>
        </v:shape>
      </w:pic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741.616699pt;width:354.15pt;height:15.45pt;mso-position-horizontal-relative:page;mso-position-vertical-relative:page;z-index:-258513920" type="#_x0000_t202" filled="false" stroked="false">
          <v:textbox inset="0,0,0,0">
            <w:txbxContent>
              <w:p>
                <w:pPr>
                  <w:pStyle w:val="BodyText"/>
                  <w:spacing w:before="12"/>
                  <w:ind w:left="20"/>
                </w:pPr>
                <w:r>
                  <w:rPr/>
                  <w:t>ATTACHMENT H — WATERSHED MANAGEMENT PROGRAMS</w:t>
                </w:r>
              </w:p>
            </w:txbxContent>
          </v:textbox>
          <w10:wrap type="none"/>
        </v:shape>
      </w:pict>
    </w:r>
    <w:r>
      <w:rPr/>
      <w:pict>
        <v:shape style="position:absolute;margin-left:519.758362pt;margin-top:741.616699pt;width:21.3pt;height:15.45pt;mso-position-horizontal-relative:page;mso-position-vertical-relative:page;z-index:-258512896" type="#_x0000_t202" filled="false" stroked="false">
          <v:textbox inset="0,0,0,0">
            <w:txbxContent>
              <w:p>
                <w:pPr>
                  <w:pStyle w:val="BodyText"/>
                  <w:spacing w:before="12"/>
                  <w:ind w:left="20"/>
                </w:pPr>
                <w:r>
                  <w:rPr/>
                  <w:t>H-1</w:t>
                </w:r>
              </w:p>
            </w:txbxContent>
          </v:textbox>
          <w10:wrap type="none"/>
        </v:shape>
      </w:pict>
    </w: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741.616699pt;width:250.2pt;height:15.45pt;mso-position-horizontal-relative:page;mso-position-vertical-relative:page;z-index:-258509824" type="#_x0000_t202" filled="false" stroked="false">
          <v:textbox inset="0,0,0,0">
            <w:txbxContent>
              <w:p>
                <w:pPr>
                  <w:pStyle w:val="BodyText"/>
                  <w:spacing w:before="12"/>
                  <w:ind w:left="20"/>
                </w:pPr>
                <w:r>
                  <w:rPr/>
                  <w:t>ATTACHMENT I — COMPLIANCE OPTION </w:t>
                </w:r>
                <w:r>
                  <w:rPr/>
                  <w:fldChar w:fldCharType="begin"/>
                </w:r>
                <w:r>
                  <w:rPr/>
                  <w:instrText> PAGE </w:instrText>
                </w:r>
                <w:r>
                  <w:rPr/>
                  <w:fldChar w:fldCharType="separate"/>
                </w:r>
                <w:r>
                  <w:rPr/>
                  <w:t>2</w:t>
                </w:r>
                <w:r>
                  <w:rPr/>
                  <w:fldChar w:fldCharType="end"/>
                </w:r>
              </w:p>
            </w:txbxContent>
          </v:textbox>
          <w10:wrap type="none"/>
        </v:shape>
      </w:pict>
    </w:r>
    <w:r>
      <w:rPr/>
      <w:pict>
        <v:shape style="position:absolute;margin-left:525.151245pt;margin-top:741.616699pt;width:16.05pt;height:15.45pt;mso-position-horizontal-relative:page;mso-position-vertical-relative:page;z-index:-258508800" type="#_x0000_t202" filled="false" stroked="false">
          <v:textbox inset="0,0,0,0">
            <w:txbxContent>
              <w:p>
                <w:pPr>
                  <w:pStyle w:val="BodyText"/>
                  <w:spacing w:before="12"/>
                  <w:ind w:left="20"/>
                </w:pPr>
                <w:r>
                  <w:rPr/>
                  <w:t>I-2</w:t>
                </w:r>
              </w:p>
            </w:txbxContent>
          </v:textbox>
          <w10:wrap type="none"/>
        </v:shape>
      </w:pict>
    </w: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741.616699pt;width:402.1pt;height:15.45pt;mso-position-horizontal-relative:page;mso-position-vertical-relative:page;z-index:-258505728" type="#_x0000_t202" filled="false" stroked="false">
          <v:textbox inset="0,0,0,0">
            <w:txbxContent>
              <w:p>
                <w:pPr>
                  <w:pStyle w:val="BodyText"/>
                  <w:spacing w:before="12"/>
                  <w:ind w:left="20"/>
                </w:pPr>
                <w:r>
                  <w:rPr/>
                  <w:t>ATTACHMENT J — LIST OF EXISTING TOTAL MAXIMUM DAILY LOADS</w:t>
                </w:r>
              </w:p>
            </w:txbxContent>
          </v:textbox>
          <w10:wrap type="none"/>
        </v:shape>
      </w:pict>
    </w:r>
    <w:r>
      <w:rPr/>
      <w:pict>
        <v:shape style="position:absolute;margin-left:522.447021pt;margin-top:741.616699pt;width:18.7pt;height:15.45pt;mso-position-horizontal-relative:page;mso-position-vertical-relative:page;z-index:-258504704" type="#_x0000_t202" filled="false" stroked="false">
          <v:textbox inset="0,0,0,0">
            <w:txbxContent>
              <w:p>
                <w:pPr>
                  <w:pStyle w:val="BodyText"/>
                  <w:spacing w:before="12"/>
                  <w:ind w:left="20"/>
                </w:pPr>
                <w:r>
                  <w:rPr/>
                  <w:t>J-1</w:t>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35.416718pt;width:286.650pt;height:43.05pt;mso-position-horizontal-relative:page;mso-position-vertical-relative:page;z-index:-258623488" type="#_x0000_t202" filled="false" stroked="false">
          <v:textbox inset="0,0,0,0">
            <w:txbxContent>
              <w:p>
                <w:pPr>
                  <w:pStyle w:val="BodyText"/>
                  <w:spacing w:before="12"/>
                  <w:ind w:left="20"/>
                </w:pPr>
                <w:r>
                  <w:rPr/>
                  <w:t>DISCHARGE OF STORMWATER</w:t>
                </w:r>
              </w:p>
              <w:p>
                <w:pPr>
                  <w:pStyle w:val="BodyText"/>
                  <w:ind w:left="20" w:right="-1"/>
                </w:pPr>
                <w:r>
                  <w:rPr/>
                  <w:t>COMMERCIAL, INDUSTRIAL, AND INSTITUTIONAL FACILITIES</w:t>
                </w:r>
              </w:p>
            </w:txbxContent>
          </v:textbox>
          <w10:wrap type="none"/>
        </v:shape>
      </w:pict>
    </w:r>
    <w:r>
      <w:rPr/>
      <w:pict>
        <v:shape style="position:absolute;margin-left:385.675629pt;margin-top:35.416718pt;width:155.35pt;height:29.25pt;mso-position-horizontal-relative:page;mso-position-vertical-relative:page;z-index:-258622464" type="#_x0000_t202" filled="false" stroked="false">
          <v:textbox inset="0,0,0,0">
            <w:txbxContent>
              <w:p>
                <w:pPr>
                  <w:pStyle w:val="BodyText"/>
                  <w:spacing w:before="12"/>
                  <w:ind w:left="245" w:hanging="226"/>
                </w:pPr>
                <w:r>
                  <w:rPr/>
                  <w:t>ORDER NO. R4-2024-XXXX NPDES NO. CASXXXXXX</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35.416718pt;width:286.650pt;height:43.05pt;mso-position-horizontal-relative:page;mso-position-vertical-relative:page;z-index:-258619392" type="#_x0000_t202" filled="false" stroked="false">
          <v:textbox inset="0,0,0,0">
            <w:txbxContent>
              <w:p>
                <w:pPr>
                  <w:pStyle w:val="BodyText"/>
                  <w:spacing w:before="12"/>
                  <w:ind w:left="20"/>
                </w:pPr>
                <w:r>
                  <w:rPr/>
                  <w:t>DISCHARGE OF STORMWATER</w:t>
                </w:r>
              </w:p>
              <w:p>
                <w:pPr>
                  <w:pStyle w:val="BodyText"/>
                  <w:ind w:left="20" w:right="-1"/>
                </w:pPr>
                <w:r>
                  <w:rPr/>
                  <w:t>COMMERCIAL, INDUSTRIAL, AND INSTITUTIONAL FACILITIES</w:t>
                </w:r>
              </w:p>
            </w:txbxContent>
          </v:textbox>
          <w10:wrap type="none"/>
        </v:shape>
      </w:pict>
    </w:r>
    <w:r>
      <w:rPr/>
      <w:pict>
        <v:shape style="position:absolute;margin-left:385.675629pt;margin-top:35.416718pt;width:155.35pt;height:29.25pt;mso-position-horizontal-relative:page;mso-position-vertical-relative:page;z-index:-258618368" type="#_x0000_t202" filled="false" stroked="false">
          <v:textbox inset="0,0,0,0">
            <w:txbxContent>
              <w:p>
                <w:pPr>
                  <w:pStyle w:val="BodyText"/>
                  <w:spacing w:before="12"/>
                  <w:ind w:left="245" w:hanging="226"/>
                </w:pPr>
                <w:r>
                  <w:rPr/>
                  <w:t>ORDER NO. R4-2024-XXXX NPDES NO. CASXXXXXX</w:t>
                </w:r>
              </w:p>
            </w:txbxContent>
          </v:textbox>
          <w10:wrap type="non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35.416718pt;width:286.650pt;height:43.05pt;mso-position-horizontal-relative:page;mso-position-vertical-relative:page;z-index:-258615296" type="#_x0000_t202" filled="false" stroked="false">
          <v:textbox inset="0,0,0,0">
            <w:txbxContent>
              <w:p>
                <w:pPr>
                  <w:pStyle w:val="BodyText"/>
                  <w:spacing w:before="12"/>
                  <w:ind w:left="20"/>
                </w:pPr>
                <w:r>
                  <w:rPr/>
                  <w:t>DISCHARGE OF STORMWATER</w:t>
                </w:r>
              </w:p>
              <w:p>
                <w:pPr>
                  <w:pStyle w:val="BodyText"/>
                  <w:ind w:left="20" w:right="-1"/>
                </w:pPr>
                <w:r>
                  <w:rPr/>
                  <w:t>COMMERCIAL, INDUSTRIAL, AND INSTITUTIONAL FACILITIES</w:t>
                </w:r>
              </w:p>
            </w:txbxContent>
          </v:textbox>
          <w10:wrap type="none"/>
        </v:shape>
      </w:pict>
    </w:r>
    <w:r>
      <w:rPr/>
      <w:pict>
        <v:shape style="position:absolute;margin-left:385.675629pt;margin-top:35.416718pt;width:155.35pt;height:29.25pt;mso-position-horizontal-relative:page;mso-position-vertical-relative:page;z-index:-258614272" type="#_x0000_t202" filled="false" stroked="false">
          <v:textbox inset="0,0,0,0">
            <w:txbxContent>
              <w:p>
                <w:pPr>
                  <w:pStyle w:val="BodyText"/>
                  <w:spacing w:before="12"/>
                  <w:ind w:left="245" w:hanging="226"/>
                </w:pPr>
                <w:r>
                  <w:rPr/>
                  <w:t>ORDER NO. R4-2024-XXXX NPDES NO. CASXXXXXX</w:t>
                </w:r>
              </w:p>
            </w:txbxContent>
          </v:textbox>
          <w10:wrap type="non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35.416718pt;width:286.650pt;height:43.05pt;mso-position-horizontal-relative:page;mso-position-vertical-relative:page;z-index:-258611200" type="#_x0000_t202" filled="false" stroked="false">
          <v:textbox inset="0,0,0,0">
            <w:txbxContent>
              <w:p>
                <w:pPr>
                  <w:pStyle w:val="BodyText"/>
                  <w:spacing w:before="12"/>
                  <w:ind w:left="20"/>
                </w:pPr>
                <w:r>
                  <w:rPr/>
                  <w:t>DISCHARGE OF STORMWATER</w:t>
                </w:r>
              </w:p>
              <w:p>
                <w:pPr>
                  <w:pStyle w:val="BodyText"/>
                  <w:ind w:left="20" w:right="-1"/>
                </w:pPr>
                <w:r>
                  <w:rPr/>
                  <w:t>COMMERCIAL, INDUSTRIAL, AND INSTITUTIONAL FACILITIES</w:t>
                </w:r>
              </w:p>
            </w:txbxContent>
          </v:textbox>
          <w10:wrap type="none"/>
        </v:shape>
      </w:pict>
    </w:r>
    <w:r>
      <w:rPr/>
      <w:pict>
        <v:shape style="position:absolute;margin-left:385.675629pt;margin-top:35.416718pt;width:155.35pt;height:29.25pt;mso-position-horizontal-relative:page;mso-position-vertical-relative:page;z-index:-258610176" type="#_x0000_t202" filled="false" stroked="false">
          <v:textbox inset="0,0,0,0">
            <w:txbxContent>
              <w:p>
                <w:pPr>
                  <w:pStyle w:val="BodyText"/>
                  <w:spacing w:before="12"/>
                  <w:ind w:left="245" w:hanging="226"/>
                </w:pPr>
                <w:r>
                  <w:rPr/>
                  <w:t>ORDER NO. R4-2024-XXXX NPDES NO. CASXXXXXX</w:t>
                </w:r>
              </w:p>
            </w:txbxContent>
          </v:textbox>
          <w10:wrap type="non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35.416718pt;width:286.650pt;height:43.05pt;mso-position-horizontal-relative:page;mso-position-vertical-relative:page;z-index:-258607104" type="#_x0000_t202" filled="false" stroked="false">
          <v:textbox inset="0,0,0,0">
            <w:txbxContent>
              <w:p>
                <w:pPr>
                  <w:pStyle w:val="BodyText"/>
                  <w:spacing w:before="12"/>
                  <w:ind w:left="20"/>
                </w:pPr>
                <w:r>
                  <w:rPr/>
                  <w:t>DISCHARGE OF STORMWATER</w:t>
                </w:r>
              </w:p>
              <w:p>
                <w:pPr>
                  <w:pStyle w:val="BodyText"/>
                  <w:ind w:left="20" w:right="-1"/>
                </w:pPr>
                <w:r>
                  <w:rPr/>
                  <w:t>COMMERCIAL, INDUSTRIAL, AND INSTITUTIONAL FACILITIES</w:t>
                </w:r>
              </w:p>
            </w:txbxContent>
          </v:textbox>
          <w10:wrap type="none"/>
        </v:shape>
      </w:pict>
    </w:r>
    <w:r>
      <w:rPr/>
      <w:pict>
        <v:shape style="position:absolute;margin-left:385.675629pt;margin-top:35.416718pt;width:155.35pt;height:29.25pt;mso-position-horizontal-relative:page;mso-position-vertical-relative:page;z-index:-258606080" type="#_x0000_t202" filled="false" stroked="false">
          <v:textbox inset="0,0,0,0">
            <w:txbxContent>
              <w:p>
                <w:pPr>
                  <w:pStyle w:val="BodyText"/>
                  <w:spacing w:before="12"/>
                  <w:ind w:left="245" w:hanging="226"/>
                </w:pPr>
                <w:r>
                  <w:rPr/>
                  <w:t>ORDER NO. R4-2024-XXXX NPDES NO. CASXXXXXX</w:t>
                </w:r>
              </w:p>
            </w:txbxContent>
          </v:textbox>
          <w10:wrap type="non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35.416718pt;width:286.650pt;height:43.05pt;mso-position-horizontal-relative:page;mso-position-vertical-relative:page;z-index:-258603008" type="#_x0000_t202" filled="false" stroked="false">
          <v:textbox inset="0,0,0,0">
            <w:txbxContent>
              <w:p>
                <w:pPr>
                  <w:pStyle w:val="BodyText"/>
                  <w:spacing w:before="12"/>
                  <w:ind w:left="20"/>
                </w:pPr>
                <w:r>
                  <w:rPr/>
                  <w:t>DISCHARGE OF STORMWATER</w:t>
                </w:r>
              </w:p>
              <w:p>
                <w:pPr>
                  <w:pStyle w:val="BodyText"/>
                  <w:ind w:left="20" w:right="-1"/>
                </w:pPr>
                <w:r>
                  <w:rPr/>
                  <w:t>COMMERCIAL, INDUSTRIAL, AND INSTITUTIONAL FACILITIES</w:t>
                </w:r>
              </w:p>
            </w:txbxContent>
          </v:textbox>
          <w10:wrap type="none"/>
        </v:shape>
      </w:pict>
    </w:r>
    <w:r>
      <w:rPr/>
      <w:pict>
        <v:shape style="position:absolute;margin-left:385.675629pt;margin-top:35.416718pt;width:155.35pt;height:29.25pt;mso-position-horizontal-relative:page;mso-position-vertical-relative:page;z-index:-258601984" type="#_x0000_t202" filled="false" stroked="false">
          <v:textbox inset="0,0,0,0">
            <w:txbxContent>
              <w:p>
                <w:pPr>
                  <w:pStyle w:val="BodyText"/>
                  <w:spacing w:before="12"/>
                  <w:ind w:left="245" w:hanging="226"/>
                </w:pPr>
                <w:r>
                  <w:rPr/>
                  <w:t>ORDER NO. R4-2024-XXXX NPDES NO. CASXXXXXX</w:t>
                </w:r>
              </w:p>
            </w:txbxContent>
          </v:textbox>
          <w10:wrap type="non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35.416718pt;width:286.650pt;height:43.05pt;mso-position-horizontal-relative:page;mso-position-vertical-relative:page;z-index:-258598912" type="#_x0000_t202" filled="false" stroked="false">
          <v:textbox inset="0,0,0,0">
            <w:txbxContent>
              <w:p>
                <w:pPr>
                  <w:pStyle w:val="BodyText"/>
                  <w:spacing w:before="12"/>
                  <w:ind w:left="20"/>
                </w:pPr>
                <w:r>
                  <w:rPr/>
                  <w:t>DISCHARGE OF STORMWATER</w:t>
                </w:r>
              </w:p>
              <w:p>
                <w:pPr>
                  <w:pStyle w:val="BodyText"/>
                  <w:ind w:left="20" w:right="-1"/>
                </w:pPr>
                <w:r>
                  <w:rPr/>
                  <w:t>COMMERCIAL, INDUSTRIAL, AND INSTITUTIONAL FACILITIES</w:t>
                </w:r>
              </w:p>
            </w:txbxContent>
          </v:textbox>
          <w10:wrap type="none"/>
        </v:shape>
      </w:pict>
    </w:r>
    <w:r>
      <w:rPr/>
      <w:pict>
        <v:shape style="position:absolute;margin-left:385.675629pt;margin-top:35.416718pt;width:155.35pt;height:29.25pt;mso-position-horizontal-relative:page;mso-position-vertical-relative:page;z-index:-258597888" type="#_x0000_t202" filled="false" stroked="false">
          <v:textbox inset="0,0,0,0">
            <w:txbxContent>
              <w:p>
                <w:pPr>
                  <w:pStyle w:val="BodyText"/>
                  <w:spacing w:before="12"/>
                  <w:ind w:left="245" w:hanging="226"/>
                </w:pPr>
                <w:r>
                  <w:rPr/>
                  <w:t>ORDER NO. R4-2024-XXXX NPDES NO. CASXXXXXX</w:t>
                </w:r>
              </w:p>
            </w:txbxContent>
          </v:textbox>
          <w10:wrap type="non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35.416718pt;width:286.650pt;height:43.05pt;mso-position-horizontal-relative:page;mso-position-vertical-relative:page;z-index:-258594816" type="#_x0000_t202" filled="false" stroked="false">
          <v:textbox inset="0,0,0,0">
            <w:txbxContent>
              <w:p>
                <w:pPr>
                  <w:pStyle w:val="BodyText"/>
                  <w:spacing w:before="12"/>
                  <w:ind w:left="20"/>
                </w:pPr>
                <w:r>
                  <w:rPr/>
                  <w:t>DISCHARGE OF STORMWATER</w:t>
                </w:r>
              </w:p>
              <w:p>
                <w:pPr>
                  <w:pStyle w:val="BodyText"/>
                  <w:ind w:left="20" w:right="-1"/>
                </w:pPr>
                <w:r>
                  <w:rPr/>
                  <w:t>COMMERCIAL, INDUSTRIAL, AND INSTITUTIONAL FACILITIES</w:t>
                </w:r>
              </w:p>
            </w:txbxContent>
          </v:textbox>
          <w10:wrap type="none"/>
        </v:shape>
      </w:pict>
    </w:r>
    <w:r>
      <w:rPr/>
      <w:pict>
        <v:shape style="position:absolute;margin-left:385.675629pt;margin-top:35.416718pt;width:155.35pt;height:29.25pt;mso-position-horizontal-relative:page;mso-position-vertical-relative:page;z-index:-258593792" type="#_x0000_t202" filled="false" stroked="false">
          <v:textbox inset="0,0,0,0">
            <w:txbxContent>
              <w:p>
                <w:pPr>
                  <w:pStyle w:val="BodyText"/>
                  <w:spacing w:before="12"/>
                  <w:ind w:left="245" w:hanging="226"/>
                </w:pPr>
                <w:r>
                  <w:rPr/>
                  <w:t>ORDER NO. R4-2024-XXXX NPDES NO. CASXXXXXX</w:t>
                </w:r>
              </w:p>
            </w:txbxContent>
          </v:textbox>
          <w10:wrap type="non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35.416718pt;width:286.650pt;height:43.05pt;mso-position-horizontal-relative:page;mso-position-vertical-relative:page;z-index:-258590720" type="#_x0000_t202" filled="false" stroked="false">
          <v:textbox inset="0,0,0,0">
            <w:txbxContent>
              <w:p>
                <w:pPr>
                  <w:pStyle w:val="BodyText"/>
                  <w:spacing w:before="12"/>
                  <w:ind w:left="20"/>
                </w:pPr>
                <w:r>
                  <w:rPr/>
                  <w:t>DISCHARGE OF STORMWATER</w:t>
                </w:r>
              </w:p>
              <w:p>
                <w:pPr>
                  <w:pStyle w:val="BodyText"/>
                  <w:ind w:left="20" w:right="-1"/>
                </w:pPr>
                <w:r>
                  <w:rPr/>
                  <w:t>COMMERCIAL, INDUSTRIAL, AND INSTITUTIONAL FACILITIES</w:t>
                </w:r>
              </w:p>
            </w:txbxContent>
          </v:textbox>
          <w10:wrap type="none"/>
        </v:shape>
      </w:pict>
    </w:r>
    <w:r>
      <w:rPr/>
      <w:pict>
        <v:shape style="position:absolute;margin-left:385.675629pt;margin-top:35.416718pt;width:155.35pt;height:29.25pt;mso-position-horizontal-relative:page;mso-position-vertical-relative:page;z-index:-258589696" type="#_x0000_t202" filled="false" stroked="false">
          <v:textbox inset="0,0,0,0">
            <w:txbxContent>
              <w:p>
                <w:pPr>
                  <w:pStyle w:val="BodyText"/>
                  <w:spacing w:before="12"/>
                  <w:ind w:left="245" w:hanging="226"/>
                </w:pPr>
                <w:r>
                  <w:rPr/>
                  <w:t>ORDER NO. R4-2024-XXXX NPDES NO. CASXXXXXX</w:t>
                </w:r>
              </w:p>
            </w:txbxContent>
          </v:textbox>
          <w10:wrap type="none"/>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35.416718pt;width:286.650pt;height:43.05pt;mso-position-horizontal-relative:page;mso-position-vertical-relative:page;z-index:-258586624" type="#_x0000_t202" filled="false" stroked="false">
          <v:textbox inset="0,0,0,0">
            <w:txbxContent>
              <w:p>
                <w:pPr>
                  <w:pStyle w:val="BodyText"/>
                  <w:spacing w:before="12"/>
                  <w:ind w:left="20"/>
                </w:pPr>
                <w:r>
                  <w:rPr/>
                  <w:t>DISCHARGE OF STORMWATER</w:t>
                </w:r>
              </w:p>
              <w:p>
                <w:pPr>
                  <w:pStyle w:val="BodyText"/>
                  <w:ind w:left="20" w:right="-1"/>
                </w:pPr>
                <w:r>
                  <w:rPr/>
                  <w:t>COMMERCIAL, INDUSTRIAL, AND INSTITUTIONAL FACILITIES</w:t>
                </w:r>
              </w:p>
            </w:txbxContent>
          </v:textbox>
          <w10:wrap type="none"/>
        </v:shape>
      </w:pict>
    </w:r>
    <w:r>
      <w:rPr/>
      <w:pict>
        <v:shape style="position:absolute;margin-left:385.675629pt;margin-top:35.416718pt;width:155.35pt;height:29.25pt;mso-position-horizontal-relative:page;mso-position-vertical-relative:page;z-index:-258585600" type="#_x0000_t202" filled="false" stroked="false">
          <v:textbox inset="0,0,0,0">
            <w:txbxContent>
              <w:p>
                <w:pPr>
                  <w:pStyle w:val="BodyText"/>
                  <w:spacing w:before="12"/>
                  <w:ind w:left="245" w:hanging="226"/>
                </w:pPr>
                <w:r>
                  <w:rPr/>
                  <w:t>ORDER NO. R4-2024-XXXX NPDES NO. CASXXXXXX</w:t>
                </w:r>
              </w:p>
            </w:txbxContent>
          </v:textbox>
          <w10:wrap type="none"/>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35.416718pt;width:286.650pt;height:43.05pt;mso-position-horizontal-relative:page;mso-position-vertical-relative:page;z-index:-258582528" type="#_x0000_t202" filled="false" stroked="false">
          <v:textbox inset="0,0,0,0">
            <w:txbxContent>
              <w:p>
                <w:pPr>
                  <w:pStyle w:val="BodyText"/>
                  <w:spacing w:before="12"/>
                  <w:ind w:left="20"/>
                </w:pPr>
                <w:r>
                  <w:rPr/>
                  <w:t>DISCHARGE OF STORMWATER</w:t>
                </w:r>
              </w:p>
              <w:p>
                <w:pPr>
                  <w:pStyle w:val="BodyText"/>
                  <w:ind w:left="20" w:right="-1"/>
                </w:pPr>
                <w:r>
                  <w:rPr/>
                  <w:t>COMMERCIAL, INDUSTRIAL, AND INSTITUTIONAL FACILITIES</w:t>
                </w:r>
              </w:p>
            </w:txbxContent>
          </v:textbox>
          <w10:wrap type="none"/>
        </v:shape>
      </w:pict>
    </w:r>
    <w:r>
      <w:rPr/>
      <w:pict>
        <v:shape style="position:absolute;margin-left:385.675629pt;margin-top:35.416718pt;width:155.35pt;height:29.25pt;mso-position-horizontal-relative:page;mso-position-vertical-relative:page;z-index:-258581504" type="#_x0000_t202" filled="false" stroked="false">
          <v:textbox inset="0,0,0,0">
            <w:txbxContent>
              <w:p>
                <w:pPr>
                  <w:pStyle w:val="BodyText"/>
                  <w:spacing w:before="12"/>
                  <w:ind w:left="245" w:hanging="226"/>
                </w:pPr>
                <w:r>
                  <w:rPr/>
                  <w:t>ORDER NO. R4-2024-XXXX NPDES NO. CASXXXXXX</w:t>
                </w:r>
              </w:p>
            </w:txbxContent>
          </v:textbox>
          <w10:wrap type="none"/>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35.416718pt;width:286.650pt;height:43.05pt;mso-position-horizontal-relative:page;mso-position-vertical-relative:page;z-index:-258578432" type="#_x0000_t202" filled="false" stroked="false">
          <v:textbox inset="0,0,0,0">
            <w:txbxContent>
              <w:p>
                <w:pPr>
                  <w:pStyle w:val="BodyText"/>
                  <w:spacing w:before="12"/>
                  <w:ind w:left="20"/>
                </w:pPr>
                <w:r>
                  <w:rPr/>
                  <w:t>DISCHARGE OF STORMWATER</w:t>
                </w:r>
              </w:p>
              <w:p>
                <w:pPr>
                  <w:pStyle w:val="BodyText"/>
                  <w:ind w:left="20" w:right="-1"/>
                </w:pPr>
                <w:r>
                  <w:rPr/>
                  <w:t>COMMERCIAL, INDUSTRIAL, AND INSTITUTIONAL FACILITIES</w:t>
                </w:r>
              </w:p>
            </w:txbxContent>
          </v:textbox>
          <w10:wrap type="none"/>
        </v:shape>
      </w:pict>
    </w:r>
    <w:r>
      <w:rPr/>
      <w:pict>
        <v:shape style="position:absolute;margin-left:385.675629pt;margin-top:35.416718pt;width:155.35pt;height:29.25pt;mso-position-horizontal-relative:page;mso-position-vertical-relative:page;z-index:-258577408" type="#_x0000_t202" filled="false" stroked="false">
          <v:textbox inset="0,0,0,0">
            <w:txbxContent>
              <w:p>
                <w:pPr>
                  <w:pStyle w:val="BodyText"/>
                  <w:spacing w:before="12"/>
                  <w:ind w:left="245" w:hanging="226"/>
                </w:pPr>
                <w:r>
                  <w:rPr/>
                  <w:t>ORDER NO. R4-2024-XXXX NPDES NO. CASXXXXXX</w:t>
                </w:r>
              </w:p>
            </w:txbxContent>
          </v:textbox>
          <w10:wrap type="none"/>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35.416718pt;width:286.650pt;height:43.05pt;mso-position-horizontal-relative:page;mso-position-vertical-relative:page;z-index:-258574336" type="#_x0000_t202" filled="false" stroked="false">
          <v:textbox inset="0,0,0,0">
            <w:txbxContent>
              <w:p>
                <w:pPr>
                  <w:pStyle w:val="BodyText"/>
                  <w:spacing w:before="12"/>
                  <w:ind w:left="20"/>
                </w:pPr>
                <w:r>
                  <w:rPr/>
                  <w:t>DISCHARGE OF STORMWATER</w:t>
                </w:r>
              </w:p>
              <w:p>
                <w:pPr>
                  <w:pStyle w:val="BodyText"/>
                  <w:ind w:left="20" w:right="-1"/>
                </w:pPr>
                <w:r>
                  <w:rPr/>
                  <w:t>COMMERCIAL, INDUSTRIAL, AND INSTITUTIONAL FACILITIES</w:t>
                </w:r>
              </w:p>
            </w:txbxContent>
          </v:textbox>
          <w10:wrap type="none"/>
        </v:shape>
      </w:pict>
    </w:r>
    <w:r>
      <w:rPr/>
      <w:pict>
        <v:shape style="position:absolute;margin-left:385.675629pt;margin-top:35.416718pt;width:155.35pt;height:29.25pt;mso-position-horizontal-relative:page;mso-position-vertical-relative:page;z-index:-258573312" type="#_x0000_t202" filled="false" stroked="false">
          <v:textbox inset="0,0,0,0">
            <w:txbxContent>
              <w:p>
                <w:pPr>
                  <w:pStyle w:val="BodyText"/>
                  <w:spacing w:before="12"/>
                  <w:ind w:left="245" w:hanging="226"/>
                </w:pPr>
                <w:r>
                  <w:rPr/>
                  <w:t>ORDER NO. R4-2024-XXXX NPDES NO. CASXXXXXX</w:t>
                </w:r>
              </w:p>
            </w:txbxContent>
          </v:textbox>
          <w10:wrap type="none"/>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35.416718pt;width:286.650pt;height:43.05pt;mso-position-horizontal-relative:page;mso-position-vertical-relative:page;z-index:-258570240" type="#_x0000_t202" filled="false" stroked="false">
          <v:textbox inset="0,0,0,0">
            <w:txbxContent>
              <w:p>
                <w:pPr>
                  <w:pStyle w:val="BodyText"/>
                  <w:spacing w:before="12"/>
                  <w:ind w:left="20"/>
                </w:pPr>
                <w:r>
                  <w:rPr/>
                  <w:t>DISCHARGE OF STORMWATER</w:t>
                </w:r>
              </w:p>
              <w:p>
                <w:pPr>
                  <w:pStyle w:val="BodyText"/>
                  <w:ind w:left="20" w:right="-1"/>
                </w:pPr>
                <w:r>
                  <w:rPr/>
                  <w:t>COMMERCIAL, INDUSTRIAL, AND INSTITUTIONAL FACILITIES</w:t>
                </w:r>
              </w:p>
            </w:txbxContent>
          </v:textbox>
          <w10:wrap type="none"/>
        </v:shape>
      </w:pict>
    </w:r>
    <w:r>
      <w:rPr/>
      <w:pict>
        <v:shape style="position:absolute;margin-left:385.675629pt;margin-top:35.416718pt;width:155.35pt;height:29.25pt;mso-position-horizontal-relative:page;mso-position-vertical-relative:page;z-index:-258569216" type="#_x0000_t202" filled="false" stroked="false">
          <v:textbox inset="0,0,0,0">
            <w:txbxContent>
              <w:p>
                <w:pPr>
                  <w:pStyle w:val="BodyText"/>
                  <w:spacing w:before="12"/>
                  <w:ind w:left="245" w:hanging="226"/>
                </w:pPr>
                <w:r>
                  <w:rPr/>
                  <w:t>ORDER NO. R4-2024-XXXX NPDES NO. CASXXXXXX</w:t>
                </w:r>
              </w:p>
            </w:txbxContent>
          </v:textbox>
          <w10:wrap type="none"/>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35.416718pt;width:286.650pt;height:43.05pt;mso-position-horizontal-relative:page;mso-position-vertical-relative:page;z-index:-258566144" type="#_x0000_t202" filled="false" stroked="false">
          <v:textbox inset="0,0,0,0">
            <w:txbxContent>
              <w:p>
                <w:pPr>
                  <w:pStyle w:val="BodyText"/>
                  <w:spacing w:before="12"/>
                  <w:ind w:left="20"/>
                </w:pPr>
                <w:r>
                  <w:rPr/>
                  <w:t>DISCHARGE OF STORMWATER</w:t>
                </w:r>
              </w:p>
              <w:p>
                <w:pPr>
                  <w:pStyle w:val="BodyText"/>
                  <w:ind w:left="20" w:right="-1"/>
                </w:pPr>
                <w:r>
                  <w:rPr/>
                  <w:t>COMMERCIAL, INDUSTRIAL, AND INSTITUTIONAL FACILITIES</w:t>
                </w:r>
              </w:p>
            </w:txbxContent>
          </v:textbox>
          <w10:wrap type="none"/>
        </v:shape>
      </w:pict>
    </w:r>
    <w:r>
      <w:rPr/>
      <w:pict>
        <v:shape style="position:absolute;margin-left:385.675629pt;margin-top:35.416718pt;width:155.35pt;height:29.25pt;mso-position-horizontal-relative:page;mso-position-vertical-relative:page;z-index:-258565120" type="#_x0000_t202" filled="false" stroked="false">
          <v:textbox inset="0,0,0,0">
            <w:txbxContent>
              <w:p>
                <w:pPr>
                  <w:pStyle w:val="BodyText"/>
                  <w:spacing w:before="12"/>
                  <w:ind w:left="245" w:hanging="226"/>
                </w:pPr>
                <w:r>
                  <w:rPr/>
                  <w:t>ORDER NO. R4-2024-XXXX NPDES NO. CASXXXXXX</w:t>
                </w:r>
              </w:p>
            </w:txbxContent>
          </v:textbox>
          <w10:wrap type="none"/>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35.416718pt;width:286.650pt;height:43.05pt;mso-position-horizontal-relative:page;mso-position-vertical-relative:page;z-index:-258562048" type="#_x0000_t202" filled="false" stroked="false">
          <v:textbox inset="0,0,0,0">
            <w:txbxContent>
              <w:p>
                <w:pPr>
                  <w:pStyle w:val="BodyText"/>
                  <w:spacing w:before="12"/>
                  <w:ind w:left="20"/>
                </w:pPr>
                <w:r>
                  <w:rPr/>
                  <w:t>DISCHARGE OF STORMWATER</w:t>
                </w:r>
              </w:p>
              <w:p>
                <w:pPr>
                  <w:pStyle w:val="BodyText"/>
                  <w:ind w:left="20" w:right="-1"/>
                </w:pPr>
                <w:r>
                  <w:rPr/>
                  <w:t>COMMERCIAL, INDUSTRIAL, AND INSTITUTIONAL FACILITIES</w:t>
                </w:r>
              </w:p>
            </w:txbxContent>
          </v:textbox>
          <w10:wrap type="none"/>
        </v:shape>
      </w:pict>
    </w:r>
    <w:r>
      <w:rPr/>
      <w:pict>
        <v:shape style="position:absolute;margin-left:385.675629pt;margin-top:35.416718pt;width:155.35pt;height:29.25pt;mso-position-horizontal-relative:page;mso-position-vertical-relative:page;z-index:-258561024" type="#_x0000_t202" filled="false" stroked="false">
          <v:textbox inset="0,0,0,0">
            <w:txbxContent>
              <w:p>
                <w:pPr>
                  <w:pStyle w:val="BodyText"/>
                  <w:spacing w:before="12"/>
                  <w:ind w:left="245" w:hanging="226"/>
                </w:pPr>
                <w:r>
                  <w:rPr/>
                  <w:t>ORDER NO. R4-2024-XXXX NPDES NO. CASXXXXXX</w:t>
                </w:r>
              </w:p>
            </w:txbxContent>
          </v:textbox>
          <w10:wrap type="none"/>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35.416718pt;width:286.650pt;height:43.05pt;mso-position-horizontal-relative:page;mso-position-vertical-relative:page;z-index:-258557952" type="#_x0000_t202" filled="false" stroked="false">
          <v:textbox inset="0,0,0,0">
            <w:txbxContent>
              <w:p>
                <w:pPr>
                  <w:pStyle w:val="BodyText"/>
                  <w:spacing w:before="12"/>
                  <w:ind w:left="20"/>
                </w:pPr>
                <w:r>
                  <w:rPr/>
                  <w:t>DISCHARGE OF STORMWATER</w:t>
                </w:r>
              </w:p>
              <w:p>
                <w:pPr>
                  <w:pStyle w:val="BodyText"/>
                  <w:ind w:left="20" w:right="-1"/>
                </w:pPr>
                <w:r>
                  <w:rPr/>
                  <w:t>COMMERCIAL, INDUSTRIAL, AND INSTITUTIONAL FACILITIES</w:t>
                </w:r>
              </w:p>
            </w:txbxContent>
          </v:textbox>
          <w10:wrap type="none"/>
        </v:shape>
      </w:pict>
    </w:r>
    <w:r>
      <w:rPr/>
      <w:pict>
        <v:shape style="position:absolute;margin-left:385.675629pt;margin-top:35.416718pt;width:155.35pt;height:29.25pt;mso-position-horizontal-relative:page;mso-position-vertical-relative:page;z-index:-258556928" type="#_x0000_t202" filled="false" stroked="false">
          <v:textbox inset="0,0,0,0">
            <w:txbxContent>
              <w:p>
                <w:pPr>
                  <w:pStyle w:val="BodyText"/>
                  <w:spacing w:before="12"/>
                  <w:ind w:left="245" w:hanging="226"/>
                </w:pPr>
                <w:r>
                  <w:rPr/>
                  <w:t>ORDER NO. R4-2024-XXXX NPDES NO. CASXXXXXX</w:t>
                </w:r>
              </w:p>
            </w:txbxContent>
          </v:textbox>
          <w10:wrap type="none"/>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35.416718pt;width:286.650pt;height:43.05pt;mso-position-horizontal-relative:page;mso-position-vertical-relative:page;z-index:-258553856" type="#_x0000_t202" filled="false" stroked="false">
          <v:textbox inset="0,0,0,0">
            <w:txbxContent>
              <w:p>
                <w:pPr>
                  <w:pStyle w:val="BodyText"/>
                  <w:spacing w:before="12"/>
                  <w:ind w:left="20"/>
                </w:pPr>
                <w:r>
                  <w:rPr/>
                  <w:t>DISCHARGE OF STORMWATER</w:t>
                </w:r>
              </w:p>
              <w:p>
                <w:pPr>
                  <w:pStyle w:val="BodyText"/>
                  <w:ind w:left="20" w:right="-1"/>
                </w:pPr>
                <w:r>
                  <w:rPr/>
                  <w:t>COMMERCIAL, INDUSTRIAL, AND INSTITUTIONAL FACILITIES</w:t>
                </w:r>
              </w:p>
            </w:txbxContent>
          </v:textbox>
          <w10:wrap type="none"/>
        </v:shape>
      </w:pict>
    </w:r>
    <w:r>
      <w:rPr/>
      <w:pict>
        <v:shape style="position:absolute;margin-left:385.675629pt;margin-top:35.416718pt;width:155.35pt;height:29.25pt;mso-position-horizontal-relative:page;mso-position-vertical-relative:page;z-index:-258552832" type="#_x0000_t202" filled="false" stroked="false">
          <v:textbox inset="0,0,0,0">
            <w:txbxContent>
              <w:p>
                <w:pPr>
                  <w:pStyle w:val="BodyText"/>
                  <w:spacing w:before="12"/>
                  <w:ind w:left="245" w:hanging="226"/>
                </w:pPr>
                <w:r>
                  <w:rPr/>
                  <w:t>ORDER NO. R4-2024-XXXX NPDES NO. CASXXXXXX</w:t>
                </w:r>
              </w:p>
            </w:txbxContent>
          </v:textbox>
          <w10:wrap type="none"/>
        </v:shape>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35.416718pt;width:286.650pt;height:43.05pt;mso-position-horizontal-relative:page;mso-position-vertical-relative:page;z-index:-258549760" type="#_x0000_t202" filled="false" stroked="false">
          <v:textbox inset="0,0,0,0">
            <w:txbxContent>
              <w:p>
                <w:pPr>
                  <w:pStyle w:val="BodyText"/>
                  <w:spacing w:before="12"/>
                  <w:ind w:left="20"/>
                </w:pPr>
                <w:r>
                  <w:rPr/>
                  <w:t>DISCHARGE OF STORMWATER</w:t>
                </w:r>
              </w:p>
              <w:p>
                <w:pPr>
                  <w:pStyle w:val="BodyText"/>
                  <w:ind w:left="20" w:right="-1"/>
                </w:pPr>
                <w:r>
                  <w:rPr/>
                  <w:t>COMMERCIAL, INDUSTRIAL, AND INSTITUTIONAL FACILITIES</w:t>
                </w:r>
              </w:p>
            </w:txbxContent>
          </v:textbox>
          <w10:wrap type="none"/>
        </v:shape>
      </w:pict>
    </w:r>
    <w:r>
      <w:rPr/>
      <w:pict>
        <v:shape style="position:absolute;margin-left:385.675629pt;margin-top:35.416718pt;width:155.35pt;height:29.25pt;mso-position-horizontal-relative:page;mso-position-vertical-relative:page;z-index:-258548736" type="#_x0000_t202" filled="false" stroked="false">
          <v:textbox inset="0,0,0,0">
            <w:txbxContent>
              <w:p>
                <w:pPr>
                  <w:pStyle w:val="BodyText"/>
                  <w:spacing w:before="12"/>
                  <w:ind w:left="245" w:hanging="226"/>
                </w:pPr>
                <w:r>
                  <w:rPr/>
                  <w:t>ORDER NO. R4-2024-XXXX NPDES NO. CASXXXXXX</w:t>
                </w:r>
              </w:p>
            </w:txbxContent>
          </v:textbox>
          <w10:wrap type="none"/>
        </v:shape>
      </w:pic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35.416718pt;width:286.650pt;height:43.05pt;mso-position-horizontal-relative:page;mso-position-vertical-relative:page;z-index:-258545664" type="#_x0000_t202" filled="false" stroked="false">
          <v:textbox inset="0,0,0,0">
            <w:txbxContent>
              <w:p>
                <w:pPr>
                  <w:pStyle w:val="BodyText"/>
                  <w:spacing w:before="12"/>
                  <w:ind w:left="20"/>
                </w:pPr>
                <w:r>
                  <w:rPr/>
                  <w:t>DISCHARGE OF STORMWATER</w:t>
                </w:r>
              </w:p>
              <w:p>
                <w:pPr>
                  <w:pStyle w:val="BodyText"/>
                  <w:ind w:left="20" w:right="-1"/>
                </w:pPr>
                <w:r>
                  <w:rPr/>
                  <w:t>COMMERCIAL, INDUSTRIAL, AND INSTITUTIONAL FACILITIES</w:t>
                </w:r>
              </w:p>
            </w:txbxContent>
          </v:textbox>
          <w10:wrap type="none"/>
        </v:shape>
      </w:pict>
    </w:r>
    <w:r>
      <w:rPr/>
      <w:pict>
        <v:shape style="position:absolute;margin-left:385.675629pt;margin-top:35.416718pt;width:155.35pt;height:29.25pt;mso-position-horizontal-relative:page;mso-position-vertical-relative:page;z-index:-258544640" type="#_x0000_t202" filled="false" stroked="false">
          <v:textbox inset="0,0,0,0">
            <w:txbxContent>
              <w:p>
                <w:pPr>
                  <w:pStyle w:val="BodyText"/>
                  <w:spacing w:before="12"/>
                  <w:ind w:left="245" w:hanging="226"/>
                </w:pPr>
                <w:r>
                  <w:rPr/>
                  <w:t>ORDER NO. R4-2024-XXXX NPDES NO. CASXXXXXX</w:t>
                </w:r>
              </w:p>
            </w:txbxContent>
          </v:textbox>
          <w10:wrap type="none"/>
        </v:shape>
      </w:pic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35.416718pt;width:286.650pt;height:43.05pt;mso-position-horizontal-relative:page;mso-position-vertical-relative:page;z-index:-258541568" type="#_x0000_t202" filled="false" stroked="false">
          <v:textbox inset="0,0,0,0">
            <w:txbxContent>
              <w:p>
                <w:pPr>
                  <w:pStyle w:val="BodyText"/>
                  <w:spacing w:before="12"/>
                  <w:ind w:left="20"/>
                </w:pPr>
                <w:r>
                  <w:rPr/>
                  <w:t>DISCHARGE OF STORMWATER</w:t>
                </w:r>
              </w:p>
              <w:p>
                <w:pPr>
                  <w:pStyle w:val="BodyText"/>
                  <w:ind w:left="20" w:right="-1"/>
                </w:pPr>
                <w:r>
                  <w:rPr/>
                  <w:t>COMMERCIAL, INDUSTRIAL, AND INSTITUTIONAL FACILITIES</w:t>
                </w:r>
              </w:p>
            </w:txbxContent>
          </v:textbox>
          <w10:wrap type="none"/>
        </v:shape>
      </w:pict>
    </w:r>
    <w:r>
      <w:rPr/>
      <w:pict>
        <v:shape style="position:absolute;margin-left:385.675629pt;margin-top:35.416718pt;width:155.35pt;height:29.25pt;mso-position-horizontal-relative:page;mso-position-vertical-relative:page;z-index:-258540544" type="#_x0000_t202" filled="false" stroked="false">
          <v:textbox inset="0,0,0,0">
            <w:txbxContent>
              <w:p>
                <w:pPr>
                  <w:pStyle w:val="BodyText"/>
                  <w:spacing w:before="12"/>
                  <w:ind w:left="245" w:hanging="226"/>
                </w:pPr>
                <w:r>
                  <w:rPr/>
                  <w:t>ORDER NO. R4-2024-XXXX NPDES NO. CASXXXXXX</w:t>
                </w:r>
              </w:p>
            </w:txbxContent>
          </v:textbox>
          <w10:wrap type="none"/>
        </v:shape>
      </w:pic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35.416718pt;width:286.650pt;height:43.05pt;mso-position-horizontal-relative:page;mso-position-vertical-relative:page;z-index:-258537472" type="#_x0000_t202" filled="false" stroked="false">
          <v:textbox inset="0,0,0,0">
            <w:txbxContent>
              <w:p>
                <w:pPr>
                  <w:pStyle w:val="BodyText"/>
                  <w:spacing w:before="12"/>
                  <w:ind w:left="20"/>
                </w:pPr>
                <w:r>
                  <w:rPr/>
                  <w:t>DISCHARGE OF STORMWATER</w:t>
                </w:r>
              </w:p>
              <w:p>
                <w:pPr>
                  <w:pStyle w:val="BodyText"/>
                  <w:ind w:left="20" w:right="-1"/>
                </w:pPr>
                <w:r>
                  <w:rPr/>
                  <w:t>COMMERCIAL, INDUSTRIAL, AND INSTITUTIONAL FACILITIES</w:t>
                </w:r>
              </w:p>
            </w:txbxContent>
          </v:textbox>
          <w10:wrap type="none"/>
        </v:shape>
      </w:pict>
    </w:r>
    <w:r>
      <w:rPr/>
      <w:pict>
        <v:shape style="position:absolute;margin-left:385.675629pt;margin-top:35.416718pt;width:155.35pt;height:29.25pt;mso-position-horizontal-relative:page;mso-position-vertical-relative:page;z-index:-258536448" type="#_x0000_t202" filled="false" stroked="false">
          <v:textbox inset="0,0,0,0">
            <w:txbxContent>
              <w:p>
                <w:pPr>
                  <w:pStyle w:val="BodyText"/>
                  <w:spacing w:before="12"/>
                  <w:ind w:left="245" w:hanging="226"/>
                </w:pPr>
                <w:r>
                  <w:rPr/>
                  <w:t>ORDER NO. R4-2024-XXXX NPDES NO. CASXXXXXX</w:t>
                </w:r>
              </w:p>
            </w:txbxContent>
          </v:textbox>
          <w10:wrap type="none"/>
        </v:shape>
      </w:pic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35.416718pt;width:286.650pt;height:43.05pt;mso-position-horizontal-relative:page;mso-position-vertical-relative:page;z-index:-258533376" type="#_x0000_t202" filled="false" stroked="false">
          <v:textbox inset="0,0,0,0">
            <w:txbxContent>
              <w:p>
                <w:pPr>
                  <w:pStyle w:val="BodyText"/>
                  <w:spacing w:before="12"/>
                  <w:ind w:left="20"/>
                </w:pPr>
                <w:r>
                  <w:rPr/>
                  <w:t>DISCHARGE OF STORMWATER</w:t>
                </w:r>
              </w:p>
              <w:p>
                <w:pPr>
                  <w:pStyle w:val="BodyText"/>
                  <w:ind w:left="20" w:right="-1"/>
                </w:pPr>
                <w:r>
                  <w:rPr/>
                  <w:t>COMMERCIAL, INDUSTRIAL, AND INSTITUTIONAL FACILITIES</w:t>
                </w:r>
              </w:p>
            </w:txbxContent>
          </v:textbox>
          <w10:wrap type="none"/>
        </v:shape>
      </w:pict>
    </w:r>
    <w:r>
      <w:rPr/>
      <w:pict>
        <v:shape style="position:absolute;margin-left:385.675629pt;margin-top:35.416718pt;width:155.35pt;height:29.25pt;mso-position-horizontal-relative:page;mso-position-vertical-relative:page;z-index:-258532352" type="#_x0000_t202" filled="false" stroked="false">
          <v:textbox inset="0,0,0,0">
            <w:txbxContent>
              <w:p>
                <w:pPr>
                  <w:pStyle w:val="BodyText"/>
                  <w:spacing w:before="12"/>
                  <w:ind w:left="245" w:hanging="226"/>
                </w:pPr>
                <w:r>
                  <w:rPr/>
                  <w:t>ORDER NO. R4-2024-XXXX NPDES NO. CASXXXXXX</w:t>
                </w:r>
              </w:p>
            </w:txbxContent>
          </v:textbox>
          <w10:wrap type="none"/>
        </v:shape>
      </w:pic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35.416718pt;width:286.650pt;height:43.05pt;mso-position-horizontal-relative:page;mso-position-vertical-relative:page;z-index:-258529280" type="#_x0000_t202" filled="false" stroked="false">
          <v:textbox inset="0,0,0,0">
            <w:txbxContent>
              <w:p>
                <w:pPr>
                  <w:pStyle w:val="BodyText"/>
                  <w:spacing w:before="12"/>
                  <w:ind w:left="20"/>
                </w:pPr>
                <w:r>
                  <w:rPr/>
                  <w:t>DISCHARGE OF STORMWATER</w:t>
                </w:r>
              </w:p>
              <w:p>
                <w:pPr>
                  <w:pStyle w:val="BodyText"/>
                  <w:ind w:left="20" w:right="-1"/>
                </w:pPr>
                <w:r>
                  <w:rPr/>
                  <w:t>COMMERCIAL, INDUSTRIAL, AND INSTITUTIONAL FACILITIES</w:t>
                </w:r>
              </w:p>
            </w:txbxContent>
          </v:textbox>
          <w10:wrap type="none"/>
        </v:shape>
      </w:pict>
    </w:r>
    <w:r>
      <w:rPr/>
      <w:pict>
        <v:shape style="position:absolute;margin-left:385.675629pt;margin-top:35.416718pt;width:155.35pt;height:29.25pt;mso-position-horizontal-relative:page;mso-position-vertical-relative:page;z-index:-258528256" type="#_x0000_t202" filled="false" stroked="false">
          <v:textbox inset="0,0,0,0">
            <w:txbxContent>
              <w:p>
                <w:pPr>
                  <w:pStyle w:val="BodyText"/>
                  <w:spacing w:before="12"/>
                  <w:ind w:left="245" w:hanging="226"/>
                </w:pPr>
                <w:r>
                  <w:rPr/>
                  <w:t>ORDER NO. R4-2024-XXXX NPDES NO. CASXXXXXX</w:t>
                </w:r>
              </w:p>
            </w:txbxContent>
          </v:textbox>
          <w10:wrap type="none"/>
        </v:shape>
      </w:pict>
    </w: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35.416718pt;width:286.650pt;height:43.05pt;mso-position-horizontal-relative:page;mso-position-vertical-relative:page;z-index:-258524160" type="#_x0000_t202" filled="false" stroked="false">
          <v:textbox inset="0,0,0,0">
            <w:txbxContent>
              <w:p>
                <w:pPr>
                  <w:pStyle w:val="BodyText"/>
                  <w:spacing w:before="12"/>
                  <w:ind w:left="20"/>
                </w:pPr>
                <w:r>
                  <w:rPr/>
                  <w:t>DISCHARGE OF STORMWATER</w:t>
                </w:r>
              </w:p>
              <w:p>
                <w:pPr>
                  <w:pStyle w:val="BodyText"/>
                  <w:ind w:left="20" w:right="-1"/>
                </w:pPr>
                <w:r>
                  <w:rPr/>
                  <w:t>COMMERCIAL, INDUSTRIAL, AND INSTITUTIONAL FACILITIES</w:t>
                </w:r>
              </w:p>
            </w:txbxContent>
          </v:textbox>
          <w10:wrap type="none"/>
        </v:shape>
      </w:pict>
    </w:r>
    <w:r>
      <w:rPr/>
      <w:pict>
        <v:shape style="position:absolute;margin-left:385.675629pt;margin-top:35.416718pt;width:155.35pt;height:29.25pt;mso-position-horizontal-relative:page;mso-position-vertical-relative:page;z-index:-258523136" type="#_x0000_t202" filled="false" stroked="false">
          <v:textbox inset="0,0,0,0">
            <w:txbxContent>
              <w:p>
                <w:pPr>
                  <w:pStyle w:val="BodyText"/>
                  <w:spacing w:before="12"/>
                  <w:ind w:left="245" w:hanging="226"/>
                </w:pPr>
                <w:r>
                  <w:rPr/>
                  <w:t>ORDER NO. R4-2024-XXXX NPDES NO. CASXXXXXX</w:t>
                </w:r>
              </w:p>
            </w:txbxContent>
          </v:textbox>
          <w10:wrap type="none"/>
        </v:shape>
      </w:pict>
    </w: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35.416718pt;width:286.650pt;height:43.05pt;mso-position-horizontal-relative:page;mso-position-vertical-relative:page;z-index:-258520064" type="#_x0000_t202" filled="false" stroked="false">
          <v:textbox inset="0,0,0,0">
            <w:txbxContent>
              <w:p>
                <w:pPr>
                  <w:pStyle w:val="BodyText"/>
                  <w:spacing w:before="12"/>
                  <w:ind w:left="20"/>
                </w:pPr>
                <w:r>
                  <w:rPr/>
                  <w:t>DISCHARGE OF STORMWATER</w:t>
                </w:r>
              </w:p>
              <w:p>
                <w:pPr>
                  <w:pStyle w:val="BodyText"/>
                  <w:ind w:left="20" w:right="-1"/>
                </w:pPr>
                <w:r>
                  <w:rPr/>
                  <w:t>COMMERCIAL, INDUSTRIAL, AND INSTITUTIONAL FACILITIES</w:t>
                </w:r>
              </w:p>
            </w:txbxContent>
          </v:textbox>
          <w10:wrap type="none"/>
        </v:shape>
      </w:pict>
    </w:r>
    <w:r>
      <w:rPr/>
      <w:pict>
        <v:shape style="position:absolute;margin-left:385.675629pt;margin-top:35.416718pt;width:155.35pt;height:29.25pt;mso-position-horizontal-relative:page;mso-position-vertical-relative:page;z-index:-258519040" type="#_x0000_t202" filled="false" stroked="false">
          <v:textbox inset="0,0,0,0">
            <w:txbxContent>
              <w:p>
                <w:pPr>
                  <w:pStyle w:val="BodyText"/>
                  <w:spacing w:before="12"/>
                  <w:ind w:left="245" w:hanging="226"/>
                </w:pPr>
                <w:r>
                  <w:rPr/>
                  <w:t>ORDER NO. R4-2024-XXXX NPDES NO. CASXXXXXX</w:t>
                </w:r>
              </w:p>
            </w:txbxContent>
          </v:textbox>
          <w10:wrap type="none"/>
        </v:shape>
      </w:pict>
    </w: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35.416718pt;width:286.650pt;height:43.05pt;mso-position-horizontal-relative:page;mso-position-vertical-relative:page;z-index:-258515968" type="#_x0000_t202" filled="false" stroked="false">
          <v:textbox inset="0,0,0,0">
            <w:txbxContent>
              <w:p>
                <w:pPr>
                  <w:pStyle w:val="BodyText"/>
                  <w:spacing w:before="12"/>
                  <w:ind w:left="20"/>
                </w:pPr>
                <w:r>
                  <w:rPr/>
                  <w:t>DISCHARGE OF STORMWATER</w:t>
                </w:r>
              </w:p>
              <w:p>
                <w:pPr>
                  <w:pStyle w:val="BodyText"/>
                  <w:ind w:left="20" w:right="-1"/>
                </w:pPr>
                <w:r>
                  <w:rPr/>
                  <w:t>COMMERCIAL, INDUSTRIAL, AND INSTITUTIONAL FACILITIES</w:t>
                </w:r>
              </w:p>
            </w:txbxContent>
          </v:textbox>
          <w10:wrap type="none"/>
        </v:shape>
      </w:pict>
    </w:r>
    <w:r>
      <w:rPr/>
      <w:pict>
        <v:shape style="position:absolute;margin-left:385.675629pt;margin-top:35.416718pt;width:155.35pt;height:29.25pt;mso-position-horizontal-relative:page;mso-position-vertical-relative:page;z-index:-258514944" type="#_x0000_t202" filled="false" stroked="false">
          <v:textbox inset="0,0,0,0">
            <w:txbxContent>
              <w:p>
                <w:pPr>
                  <w:pStyle w:val="BodyText"/>
                  <w:spacing w:before="12"/>
                  <w:ind w:left="245" w:hanging="226"/>
                </w:pPr>
                <w:r>
                  <w:rPr/>
                  <w:t>ORDER NO. R4-2024-XXXX NPDES NO. CASXXXXXX</w:t>
                </w:r>
              </w:p>
            </w:txbxContent>
          </v:textbox>
          <w10:wrap type="none"/>
        </v:shape>
      </w:pict>
    </w: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35.416718pt;width:286.650pt;height:43.05pt;mso-position-horizontal-relative:page;mso-position-vertical-relative:page;z-index:-258511872" type="#_x0000_t202" filled="false" stroked="false">
          <v:textbox inset="0,0,0,0">
            <w:txbxContent>
              <w:p>
                <w:pPr>
                  <w:pStyle w:val="BodyText"/>
                  <w:spacing w:before="12"/>
                  <w:ind w:left="20"/>
                </w:pPr>
                <w:r>
                  <w:rPr/>
                  <w:t>DISCHARGE OF STORMWATER</w:t>
                </w:r>
              </w:p>
              <w:p>
                <w:pPr>
                  <w:pStyle w:val="BodyText"/>
                  <w:ind w:left="20" w:right="-1"/>
                </w:pPr>
                <w:r>
                  <w:rPr/>
                  <w:t>COMMERCIAL, INDUSTRIAL, AND INSTITUTIONAL FACILITIES</w:t>
                </w:r>
              </w:p>
            </w:txbxContent>
          </v:textbox>
          <w10:wrap type="none"/>
        </v:shape>
      </w:pict>
    </w:r>
    <w:r>
      <w:rPr/>
      <w:pict>
        <v:shape style="position:absolute;margin-left:385.675629pt;margin-top:35.416718pt;width:155.35pt;height:29.25pt;mso-position-horizontal-relative:page;mso-position-vertical-relative:page;z-index:-258510848" type="#_x0000_t202" filled="false" stroked="false">
          <v:textbox inset="0,0,0,0">
            <w:txbxContent>
              <w:p>
                <w:pPr>
                  <w:pStyle w:val="BodyText"/>
                  <w:spacing w:before="12"/>
                  <w:ind w:left="245" w:hanging="226"/>
                </w:pPr>
                <w:r>
                  <w:rPr/>
                  <w:t>ORDER NO. R4-2024-XXXX NPDES NO. CASXXXXXX</w:t>
                </w:r>
              </w:p>
            </w:txbxContent>
          </v:textbox>
          <w10:wrap type="none"/>
        </v:shape>
      </w:pict>
    </w: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35.416718pt;width:286.650pt;height:43.05pt;mso-position-horizontal-relative:page;mso-position-vertical-relative:page;z-index:-258507776" type="#_x0000_t202" filled="false" stroked="false">
          <v:textbox inset="0,0,0,0">
            <w:txbxContent>
              <w:p>
                <w:pPr>
                  <w:pStyle w:val="BodyText"/>
                  <w:spacing w:before="12"/>
                  <w:ind w:left="20"/>
                </w:pPr>
                <w:r>
                  <w:rPr/>
                  <w:t>DISCHARGE OF STORMWATER</w:t>
                </w:r>
              </w:p>
              <w:p>
                <w:pPr>
                  <w:pStyle w:val="BodyText"/>
                  <w:ind w:left="20" w:right="-1"/>
                </w:pPr>
                <w:r>
                  <w:rPr/>
                  <w:t>COMMERCIAL, INDUSTRIAL, AND INSTITUTIONAL FACILITIES</w:t>
                </w:r>
              </w:p>
            </w:txbxContent>
          </v:textbox>
          <w10:wrap type="none"/>
        </v:shape>
      </w:pict>
    </w:r>
    <w:r>
      <w:rPr/>
      <w:pict>
        <v:shape style="position:absolute;margin-left:385.675629pt;margin-top:35.416718pt;width:155.35pt;height:29.25pt;mso-position-horizontal-relative:page;mso-position-vertical-relative:page;z-index:-258506752" type="#_x0000_t202" filled="false" stroked="false">
          <v:textbox inset="0,0,0,0">
            <w:txbxContent>
              <w:p>
                <w:pPr>
                  <w:pStyle w:val="BodyText"/>
                  <w:spacing w:before="12"/>
                  <w:ind w:left="245" w:hanging="226"/>
                </w:pPr>
                <w:r>
                  <w:rPr/>
                  <w:t>ORDER NO. R4-2024-XXXX NPDES NO. CASXXXXXX</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
    <w:multiLevelType w:val="hybridMultilevel"/>
    <w:lvl w:ilvl="0">
      <w:start w:val="1"/>
      <w:numFmt w:val="decimal"/>
      <w:lvlText w:val="%1"/>
      <w:lvlJc w:val="left"/>
      <w:pPr>
        <w:ind w:left="870" w:hanging="591"/>
        <w:jc w:val="left"/>
      </w:pPr>
      <w:rPr>
        <w:rFonts w:hint="default"/>
      </w:rPr>
    </w:lvl>
    <w:lvl w:ilvl="1">
      <w:start w:val="5"/>
      <w:numFmt w:val="decimal"/>
      <w:lvlText w:val="%1.%2."/>
      <w:lvlJc w:val="left"/>
      <w:pPr>
        <w:ind w:left="870" w:hanging="591"/>
        <w:jc w:val="left"/>
      </w:pPr>
      <w:rPr>
        <w:rFonts w:hint="default" w:ascii="Arial" w:hAnsi="Arial" w:eastAsia="Arial" w:cs="Arial"/>
        <w:spacing w:val="-11"/>
        <w:w w:val="100"/>
        <w:sz w:val="24"/>
        <w:szCs w:val="24"/>
      </w:rPr>
    </w:lvl>
    <w:lvl w:ilvl="2">
      <w:start w:val="1"/>
      <w:numFmt w:val="decimal"/>
      <w:lvlText w:val="%1.%2.%3."/>
      <w:lvlJc w:val="left"/>
      <w:pPr>
        <w:ind w:left="1100" w:hanging="821"/>
        <w:jc w:val="left"/>
      </w:pPr>
      <w:rPr>
        <w:rFonts w:hint="default" w:ascii="Arial" w:hAnsi="Arial" w:eastAsia="Arial" w:cs="Arial"/>
        <w:spacing w:val="-1"/>
        <w:w w:val="100"/>
        <w:sz w:val="24"/>
        <w:szCs w:val="24"/>
      </w:rPr>
    </w:lvl>
    <w:lvl w:ilvl="3">
      <w:start w:val="1"/>
      <w:numFmt w:val="decimal"/>
      <w:lvlText w:val="%1.%2.%3.%4."/>
      <w:lvlJc w:val="left"/>
      <w:pPr>
        <w:ind w:left="1359" w:hanging="1080"/>
        <w:jc w:val="left"/>
      </w:pPr>
      <w:rPr>
        <w:rFonts w:hint="default" w:ascii="Arial" w:hAnsi="Arial" w:eastAsia="Arial" w:cs="Arial"/>
        <w:spacing w:val="-1"/>
        <w:w w:val="100"/>
        <w:sz w:val="24"/>
        <w:szCs w:val="24"/>
      </w:rPr>
    </w:lvl>
    <w:lvl w:ilvl="4">
      <w:start w:val="0"/>
      <w:numFmt w:val="bullet"/>
      <w:lvlText w:val="•"/>
      <w:lvlJc w:val="left"/>
      <w:pPr>
        <w:ind w:left="3685" w:hanging="1080"/>
      </w:pPr>
      <w:rPr>
        <w:rFonts w:hint="default"/>
      </w:rPr>
    </w:lvl>
    <w:lvl w:ilvl="5">
      <w:start w:val="0"/>
      <w:numFmt w:val="bullet"/>
      <w:lvlText w:val="•"/>
      <w:lvlJc w:val="left"/>
      <w:pPr>
        <w:ind w:left="4847" w:hanging="1080"/>
      </w:pPr>
      <w:rPr>
        <w:rFonts w:hint="default"/>
      </w:rPr>
    </w:lvl>
    <w:lvl w:ilvl="6">
      <w:start w:val="0"/>
      <w:numFmt w:val="bullet"/>
      <w:lvlText w:val="•"/>
      <w:lvlJc w:val="left"/>
      <w:pPr>
        <w:ind w:left="6010" w:hanging="1080"/>
      </w:pPr>
      <w:rPr>
        <w:rFonts w:hint="default"/>
      </w:rPr>
    </w:lvl>
    <w:lvl w:ilvl="7">
      <w:start w:val="0"/>
      <w:numFmt w:val="bullet"/>
      <w:lvlText w:val="•"/>
      <w:lvlJc w:val="left"/>
      <w:pPr>
        <w:ind w:left="7172" w:hanging="1080"/>
      </w:pPr>
      <w:rPr>
        <w:rFonts w:hint="default"/>
      </w:rPr>
    </w:lvl>
    <w:lvl w:ilvl="8">
      <w:start w:val="0"/>
      <w:numFmt w:val="bullet"/>
      <w:lvlText w:val="•"/>
      <w:lvlJc w:val="left"/>
      <w:pPr>
        <w:ind w:left="8335" w:hanging="1080"/>
      </w:pPr>
      <w:rPr>
        <w:rFonts w:hint="default"/>
      </w:rPr>
    </w:lvl>
  </w:abstractNum>
  <w:abstractNum w:abstractNumId="40">
    <w:multiLevelType w:val="hybridMultilevel"/>
    <w:lvl w:ilvl="0">
      <w:start w:val="0"/>
      <w:numFmt w:val="bullet"/>
      <w:lvlText w:val="•"/>
      <w:lvlJc w:val="left"/>
      <w:pPr>
        <w:ind w:left="1151" w:hanging="151"/>
      </w:pPr>
      <w:rPr>
        <w:rFonts w:hint="default" w:ascii="Arial" w:hAnsi="Arial" w:eastAsia="Arial" w:cs="Arial"/>
        <w:spacing w:val="-1"/>
        <w:w w:val="100"/>
        <w:sz w:val="24"/>
        <w:szCs w:val="24"/>
      </w:rPr>
    </w:lvl>
    <w:lvl w:ilvl="1">
      <w:start w:val="0"/>
      <w:numFmt w:val="bullet"/>
      <w:lvlText w:val="•"/>
      <w:lvlJc w:val="left"/>
      <w:pPr>
        <w:ind w:left="1393" w:hanging="151"/>
      </w:pPr>
      <w:rPr>
        <w:rFonts w:hint="default"/>
      </w:rPr>
    </w:lvl>
    <w:lvl w:ilvl="2">
      <w:start w:val="0"/>
      <w:numFmt w:val="bullet"/>
      <w:lvlText w:val="•"/>
      <w:lvlJc w:val="left"/>
      <w:pPr>
        <w:ind w:left="1627" w:hanging="151"/>
      </w:pPr>
      <w:rPr>
        <w:rFonts w:hint="default"/>
      </w:rPr>
    </w:lvl>
    <w:lvl w:ilvl="3">
      <w:start w:val="0"/>
      <w:numFmt w:val="bullet"/>
      <w:lvlText w:val="•"/>
      <w:lvlJc w:val="left"/>
      <w:pPr>
        <w:ind w:left="1860" w:hanging="151"/>
      </w:pPr>
      <w:rPr>
        <w:rFonts w:hint="default"/>
      </w:rPr>
    </w:lvl>
    <w:lvl w:ilvl="4">
      <w:start w:val="0"/>
      <w:numFmt w:val="bullet"/>
      <w:lvlText w:val="•"/>
      <w:lvlJc w:val="left"/>
      <w:pPr>
        <w:ind w:left="2094" w:hanging="151"/>
      </w:pPr>
      <w:rPr>
        <w:rFonts w:hint="default"/>
      </w:rPr>
    </w:lvl>
    <w:lvl w:ilvl="5">
      <w:start w:val="0"/>
      <w:numFmt w:val="bullet"/>
      <w:lvlText w:val="•"/>
      <w:lvlJc w:val="left"/>
      <w:pPr>
        <w:ind w:left="2327" w:hanging="151"/>
      </w:pPr>
      <w:rPr>
        <w:rFonts w:hint="default"/>
      </w:rPr>
    </w:lvl>
    <w:lvl w:ilvl="6">
      <w:start w:val="0"/>
      <w:numFmt w:val="bullet"/>
      <w:lvlText w:val="•"/>
      <w:lvlJc w:val="left"/>
      <w:pPr>
        <w:ind w:left="2561" w:hanging="151"/>
      </w:pPr>
      <w:rPr>
        <w:rFonts w:hint="default"/>
      </w:rPr>
    </w:lvl>
    <w:lvl w:ilvl="7">
      <w:start w:val="0"/>
      <w:numFmt w:val="bullet"/>
      <w:lvlText w:val="•"/>
      <w:lvlJc w:val="left"/>
      <w:pPr>
        <w:ind w:left="2794" w:hanging="151"/>
      </w:pPr>
      <w:rPr>
        <w:rFonts w:hint="default"/>
      </w:rPr>
    </w:lvl>
    <w:lvl w:ilvl="8">
      <w:start w:val="0"/>
      <w:numFmt w:val="bullet"/>
      <w:lvlText w:val="•"/>
      <w:lvlJc w:val="left"/>
      <w:pPr>
        <w:ind w:left="3028" w:hanging="151"/>
      </w:pPr>
      <w:rPr>
        <w:rFonts w:hint="default"/>
      </w:rPr>
    </w:lvl>
  </w:abstractNum>
  <w:abstractNum w:abstractNumId="39">
    <w:multiLevelType w:val="hybridMultilevel"/>
    <w:lvl w:ilvl="0">
      <w:start w:val="0"/>
      <w:numFmt w:val="bullet"/>
      <w:lvlText w:val="•"/>
      <w:lvlJc w:val="left"/>
      <w:pPr>
        <w:ind w:left="124" w:hanging="151"/>
      </w:pPr>
      <w:rPr>
        <w:rFonts w:hint="default" w:ascii="Arial" w:hAnsi="Arial" w:eastAsia="Arial" w:cs="Arial"/>
        <w:spacing w:val="-1"/>
        <w:w w:val="100"/>
        <w:sz w:val="24"/>
        <w:szCs w:val="24"/>
      </w:rPr>
    </w:lvl>
    <w:lvl w:ilvl="1">
      <w:start w:val="0"/>
      <w:numFmt w:val="bullet"/>
      <w:lvlText w:val="•"/>
      <w:lvlJc w:val="left"/>
      <w:pPr>
        <w:ind w:left="457" w:hanging="151"/>
      </w:pPr>
      <w:rPr>
        <w:rFonts w:hint="default"/>
      </w:rPr>
    </w:lvl>
    <w:lvl w:ilvl="2">
      <w:start w:val="0"/>
      <w:numFmt w:val="bullet"/>
      <w:lvlText w:val="•"/>
      <w:lvlJc w:val="left"/>
      <w:pPr>
        <w:ind w:left="795" w:hanging="151"/>
      </w:pPr>
      <w:rPr>
        <w:rFonts w:hint="default"/>
      </w:rPr>
    </w:lvl>
    <w:lvl w:ilvl="3">
      <w:start w:val="0"/>
      <w:numFmt w:val="bullet"/>
      <w:lvlText w:val="•"/>
      <w:lvlJc w:val="left"/>
      <w:pPr>
        <w:ind w:left="1132" w:hanging="151"/>
      </w:pPr>
      <w:rPr>
        <w:rFonts w:hint="default"/>
      </w:rPr>
    </w:lvl>
    <w:lvl w:ilvl="4">
      <w:start w:val="0"/>
      <w:numFmt w:val="bullet"/>
      <w:lvlText w:val="•"/>
      <w:lvlJc w:val="left"/>
      <w:pPr>
        <w:ind w:left="1470" w:hanging="151"/>
      </w:pPr>
      <w:rPr>
        <w:rFonts w:hint="default"/>
      </w:rPr>
    </w:lvl>
    <w:lvl w:ilvl="5">
      <w:start w:val="0"/>
      <w:numFmt w:val="bullet"/>
      <w:lvlText w:val="•"/>
      <w:lvlJc w:val="left"/>
      <w:pPr>
        <w:ind w:left="1807" w:hanging="151"/>
      </w:pPr>
      <w:rPr>
        <w:rFonts w:hint="default"/>
      </w:rPr>
    </w:lvl>
    <w:lvl w:ilvl="6">
      <w:start w:val="0"/>
      <w:numFmt w:val="bullet"/>
      <w:lvlText w:val="•"/>
      <w:lvlJc w:val="left"/>
      <w:pPr>
        <w:ind w:left="2145" w:hanging="151"/>
      </w:pPr>
      <w:rPr>
        <w:rFonts w:hint="default"/>
      </w:rPr>
    </w:lvl>
    <w:lvl w:ilvl="7">
      <w:start w:val="0"/>
      <w:numFmt w:val="bullet"/>
      <w:lvlText w:val="•"/>
      <w:lvlJc w:val="left"/>
      <w:pPr>
        <w:ind w:left="2482" w:hanging="151"/>
      </w:pPr>
      <w:rPr>
        <w:rFonts w:hint="default"/>
      </w:rPr>
    </w:lvl>
    <w:lvl w:ilvl="8">
      <w:start w:val="0"/>
      <w:numFmt w:val="bullet"/>
      <w:lvlText w:val="•"/>
      <w:lvlJc w:val="left"/>
      <w:pPr>
        <w:ind w:left="2820" w:hanging="151"/>
      </w:pPr>
      <w:rPr>
        <w:rFonts w:hint="default"/>
      </w:rPr>
    </w:lvl>
  </w:abstractNum>
  <w:abstractNum w:abstractNumId="38">
    <w:multiLevelType w:val="hybridMultilevel"/>
    <w:lvl w:ilvl="0">
      <w:start w:val="0"/>
      <w:numFmt w:val="bullet"/>
      <w:lvlText w:val="•"/>
      <w:lvlJc w:val="left"/>
      <w:pPr>
        <w:ind w:left="448" w:hanging="152"/>
      </w:pPr>
      <w:rPr>
        <w:rFonts w:hint="default" w:ascii="Arial" w:hAnsi="Arial" w:eastAsia="Arial" w:cs="Arial"/>
        <w:spacing w:val="-1"/>
        <w:w w:val="100"/>
        <w:sz w:val="24"/>
        <w:szCs w:val="24"/>
      </w:rPr>
    </w:lvl>
    <w:lvl w:ilvl="1">
      <w:start w:val="0"/>
      <w:numFmt w:val="bullet"/>
      <w:lvlText w:val="•"/>
      <w:lvlJc w:val="left"/>
      <w:pPr>
        <w:ind w:left="471" w:hanging="151"/>
      </w:pPr>
      <w:rPr>
        <w:rFonts w:hint="default" w:ascii="Arial" w:hAnsi="Arial" w:eastAsia="Arial" w:cs="Arial"/>
        <w:spacing w:val="-1"/>
        <w:w w:val="100"/>
        <w:sz w:val="24"/>
        <w:szCs w:val="24"/>
      </w:rPr>
    </w:lvl>
    <w:lvl w:ilvl="2">
      <w:start w:val="0"/>
      <w:numFmt w:val="bullet"/>
      <w:lvlText w:val="•"/>
      <w:lvlJc w:val="left"/>
      <w:pPr>
        <w:ind w:left="815" w:hanging="151"/>
      </w:pPr>
      <w:rPr>
        <w:rFonts w:hint="default"/>
      </w:rPr>
    </w:lvl>
    <w:lvl w:ilvl="3">
      <w:start w:val="0"/>
      <w:numFmt w:val="bullet"/>
      <w:lvlText w:val="•"/>
      <w:lvlJc w:val="left"/>
      <w:pPr>
        <w:ind w:left="1150" w:hanging="151"/>
      </w:pPr>
      <w:rPr>
        <w:rFonts w:hint="default"/>
      </w:rPr>
    </w:lvl>
    <w:lvl w:ilvl="4">
      <w:start w:val="0"/>
      <w:numFmt w:val="bullet"/>
      <w:lvlText w:val="•"/>
      <w:lvlJc w:val="left"/>
      <w:pPr>
        <w:ind w:left="1485" w:hanging="151"/>
      </w:pPr>
      <w:rPr>
        <w:rFonts w:hint="default"/>
      </w:rPr>
    </w:lvl>
    <w:lvl w:ilvl="5">
      <w:start w:val="0"/>
      <w:numFmt w:val="bullet"/>
      <w:lvlText w:val="•"/>
      <w:lvlJc w:val="left"/>
      <w:pPr>
        <w:ind w:left="1820" w:hanging="151"/>
      </w:pPr>
      <w:rPr>
        <w:rFonts w:hint="default"/>
      </w:rPr>
    </w:lvl>
    <w:lvl w:ilvl="6">
      <w:start w:val="0"/>
      <w:numFmt w:val="bullet"/>
      <w:lvlText w:val="•"/>
      <w:lvlJc w:val="left"/>
      <w:pPr>
        <w:ind w:left="2155" w:hanging="151"/>
      </w:pPr>
      <w:rPr>
        <w:rFonts w:hint="default"/>
      </w:rPr>
    </w:lvl>
    <w:lvl w:ilvl="7">
      <w:start w:val="0"/>
      <w:numFmt w:val="bullet"/>
      <w:lvlText w:val="•"/>
      <w:lvlJc w:val="left"/>
      <w:pPr>
        <w:ind w:left="2490" w:hanging="151"/>
      </w:pPr>
      <w:rPr>
        <w:rFonts w:hint="default"/>
      </w:rPr>
    </w:lvl>
    <w:lvl w:ilvl="8">
      <w:start w:val="0"/>
      <w:numFmt w:val="bullet"/>
      <w:lvlText w:val="•"/>
      <w:lvlJc w:val="left"/>
      <w:pPr>
        <w:ind w:left="2825" w:hanging="151"/>
      </w:pPr>
      <w:rPr>
        <w:rFonts w:hint="default"/>
      </w:rPr>
    </w:lvl>
  </w:abstractNum>
  <w:abstractNum w:abstractNumId="37">
    <w:multiLevelType w:val="hybridMultilevel"/>
    <w:lvl w:ilvl="0">
      <w:start w:val="1"/>
      <w:numFmt w:val="decimal"/>
      <w:lvlText w:val="%1."/>
      <w:lvlJc w:val="left"/>
      <w:pPr>
        <w:ind w:left="639" w:hanging="360"/>
        <w:jc w:val="left"/>
      </w:pPr>
      <w:rPr>
        <w:rFonts w:hint="default" w:ascii="Arial" w:hAnsi="Arial" w:eastAsia="Arial" w:cs="Arial"/>
        <w:b/>
        <w:bCs/>
        <w:spacing w:val="-1"/>
        <w:w w:val="100"/>
        <w:sz w:val="24"/>
        <w:szCs w:val="24"/>
      </w:rPr>
    </w:lvl>
    <w:lvl w:ilvl="1">
      <w:start w:val="1"/>
      <w:numFmt w:val="decimal"/>
      <w:lvlText w:val="%1.%2."/>
      <w:lvlJc w:val="left"/>
      <w:pPr>
        <w:ind w:left="870" w:hanging="591"/>
        <w:jc w:val="left"/>
      </w:pPr>
      <w:rPr>
        <w:rFonts w:hint="default" w:ascii="Arial" w:hAnsi="Arial" w:eastAsia="Arial" w:cs="Arial"/>
        <w:spacing w:val="-11"/>
        <w:w w:val="100"/>
        <w:sz w:val="24"/>
        <w:szCs w:val="24"/>
      </w:rPr>
    </w:lvl>
    <w:lvl w:ilvl="2">
      <w:start w:val="1"/>
      <w:numFmt w:val="decimal"/>
      <w:lvlText w:val="%1.%2.%3."/>
      <w:lvlJc w:val="left"/>
      <w:pPr>
        <w:ind w:left="1100" w:hanging="821"/>
        <w:jc w:val="left"/>
      </w:pPr>
      <w:rPr>
        <w:rFonts w:hint="default" w:ascii="Arial" w:hAnsi="Arial" w:eastAsia="Arial" w:cs="Arial"/>
        <w:spacing w:val="-1"/>
        <w:w w:val="100"/>
        <w:sz w:val="24"/>
        <w:szCs w:val="24"/>
      </w:rPr>
    </w:lvl>
    <w:lvl w:ilvl="3">
      <w:start w:val="1"/>
      <w:numFmt w:val="decimal"/>
      <w:lvlText w:val="%1.%2.%3.%4."/>
      <w:lvlJc w:val="left"/>
      <w:pPr>
        <w:ind w:left="1360" w:hanging="1080"/>
        <w:jc w:val="left"/>
      </w:pPr>
      <w:rPr>
        <w:rFonts w:hint="default" w:ascii="Arial" w:hAnsi="Arial" w:eastAsia="Arial" w:cs="Arial"/>
        <w:spacing w:val="-1"/>
        <w:w w:val="100"/>
        <w:sz w:val="24"/>
        <w:szCs w:val="24"/>
      </w:rPr>
    </w:lvl>
    <w:lvl w:ilvl="4">
      <w:start w:val="1"/>
      <w:numFmt w:val="decimal"/>
      <w:lvlText w:val="%1.%2.%3.%4.%5."/>
      <w:lvlJc w:val="left"/>
      <w:pPr>
        <w:ind w:left="1576" w:hanging="1296"/>
        <w:jc w:val="left"/>
      </w:pPr>
      <w:rPr>
        <w:rFonts w:hint="default" w:ascii="Arial" w:hAnsi="Arial" w:eastAsia="Arial" w:cs="Arial"/>
        <w:spacing w:val="-23"/>
        <w:w w:val="99"/>
        <w:sz w:val="24"/>
        <w:szCs w:val="24"/>
      </w:rPr>
    </w:lvl>
    <w:lvl w:ilvl="5">
      <w:start w:val="1"/>
      <w:numFmt w:val="decimal"/>
      <w:lvlText w:val="%1.%2.%3.%4.%5.%6."/>
      <w:lvlJc w:val="left"/>
      <w:pPr>
        <w:ind w:left="1792" w:hanging="1511"/>
        <w:jc w:val="left"/>
      </w:pPr>
      <w:rPr>
        <w:rFonts w:hint="default" w:ascii="Arial" w:hAnsi="Arial" w:eastAsia="Arial" w:cs="Arial"/>
        <w:spacing w:val="-1"/>
        <w:w w:val="100"/>
        <w:sz w:val="24"/>
        <w:szCs w:val="24"/>
      </w:rPr>
    </w:lvl>
    <w:lvl w:ilvl="6">
      <w:start w:val="0"/>
      <w:numFmt w:val="bullet"/>
      <w:lvlText w:val="•"/>
      <w:lvlJc w:val="left"/>
      <w:pPr>
        <w:ind w:left="3572" w:hanging="1511"/>
      </w:pPr>
      <w:rPr>
        <w:rFonts w:hint="default"/>
      </w:rPr>
    </w:lvl>
    <w:lvl w:ilvl="7">
      <w:start w:val="0"/>
      <w:numFmt w:val="bullet"/>
      <w:lvlText w:val="•"/>
      <w:lvlJc w:val="left"/>
      <w:pPr>
        <w:ind w:left="5344" w:hanging="1511"/>
      </w:pPr>
      <w:rPr>
        <w:rFonts w:hint="default"/>
      </w:rPr>
    </w:lvl>
    <w:lvl w:ilvl="8">
      <w:start w:val="0"/>
      <w:numFmt w:val="bullet"/>
      <w:lvlText w:val="•"/>
      <w:lvlJc w:val="left"/>
      <w:pPr>
        <w:ind w:left="7116" w:hanging="1511"/>
      </w:pPr>
      <w:rPr>
        <w:rFonts w:hint="default"/>
      </w:rPr>
    </w:lvl>
  </w:abstractNum>
  <w:abstractNum w:abstractNumId="36">
    <w:multiLevelType w:val="hybridMultilevel"/>
    <w:lvl w:ilvl="0">
      <w:start w:val="1"/>
      <w:numFmt w:val="decimal"/>
      <w:lvlText w:val="%1"/>
      <w:lvlJc w:val="left"/>
      <w:pPr>
        <w:ind w:left="1000" w:hanging="476"/>
        <w:jc w:val="left"/>
      </w:pPr>
      <w:rPr>
        <w:rFonts w:hint="default"/>
      </w:rPr>
    </w:lvl>
    <w:lvl w:ilvl="1">
      <w:start w:val="4"/>
      <w:numFmt w:val="decimal"/>
      <w:lvlText w:val="%1.%2."/>
      <w:lvlJc w:val="left"/>
      <w:pPr>
        <w:ind w:left="1000" w:hanging="476"/>
        <w:jc w:val="left"/>
      </w:pPr>
      <w:rPr>
        <w:rFonts w:hint="default" w:ascii="Arial" w:hAnsi="Arial" w:eastAsia="Arial" w:cs="Arial"/>
        <w:spacing w:val="-1"/>
        <w:w w:val="100"/>
        <w:sz w:val="24"/>
        <w:szCs w:val="24"/>
      </w:rPr>
    </w:lvl>
    <w:lvl w:ilvl="2">
      <w:start w:val="0"/>
      <w:numFmt w:val="bullet"/>
      <w:lvlText w:val="•"/>
      <w:lvlJc w:val="left"/>
      <w:pPr>
        <w:ind w:left="2932" w:hanging="476"/>
      </w:pPr>
      <w:rPr>
        <w:rFonts w:hint="default"/>
      </w:rPr>
    </w:lvl>
    <w:lvl w:ilvl="3">
      <w:start w:val="0"/>
      <w:numFmt w:val="bullet"/>
      <w:lvlText w:val="•"/>
      <w:lvlJc w:val="left"/>
      <w:pPr>
        <w:ind w:left="3898" w:hanging="476"/>
      </w:pPr>
      <w:rPr>
        <w:rFonts w:hint="default"/>
      </w:rPr>
    </w:lvl>
    <w:lvl w:ilvl="4">
      <w:start w:val="0"/>
      <w:numFmt w:val="bullet"/>
      <w:lvlText w:val="•"/>
      <w:lvlJc w:val="left"/>
      <w:pPr>
        <w:ind w:left="4864" w:hanging="476"/>
      </w:pPr>
      <w:rPr>
        <w:rFonts w:hint="default"/>
      </w:rPr>
    </w:lvl>
    <w:lvl w:ilvl="5">
      <w:start w:val="0"/>
      <w:numFmt w:val="bullet"/>
      <w:lvlText w:val="•"/>
      <w:lvlJc w:val="left"/>
      <w:pPr>
        <w:ind w:left="5830" w:hanging="476"/>
      </w:pPr>
      <w:rPr>
        <w:rFonts w:hint="default"/>
      </w:rPr>
    </w:lvl>
    <w:lvl w:ilvl="6">
      <w:start w:val="0"/>
      <w:numFmt w:val="bullet"/>
      <w:lvlText w:val="•"/>
      <w:lvlJc w:val="left"/>
      <w:pPr>
        <w:ind w:left="6796" w:hanging="476"/>
      </w:pPr>
      <w:rPr>
        <w:rFonts w:hint="default"/>
      </w:rPr>
    </w:lvl>
    <w:lvl w:ilvl="7">
      <w:start w:val="0"/>
      <w:numFmt w:val="bullet"/>
      <w:lvlText w:val="•"/>
      <w:lvlJc w:val="left"/>
      <w:pPr>
        <w:ind w:left="7762" w:hanging="476"/>
      </w:pPr>
      <w:rPr>
        <w:rFonts w:hint="default"/>
      </w:rPr>
    </w:lvl>
    <w:lvl w:ilvl="8">
      <w:start w:val="0"/>
      <w:numFmt w:val="bullet"/>
      <w:lvlText w:val="•"/>
      <w:lvlJc w:val="left"/>
      <w:pPr>
        <w:ind w:left="8728" w:hanging="476"/>
      </w:pPr>
      <w:rPr>
        <w:rFonts w:hint="default"/>
      </w:rPr>
    </w:lvl>
  </w:abstractNum>
  <w:abstractNum w:abstractNumId="35">
    <w:multiLevelType w:val="hybridMultilevel"/>
    <w:lvl w:ilvl="0">
      <w:start w:val="1"/>
      <w:numFmt w:val="decimal"/>
      <w:lvlText w:val="%1."/>
      <w:lvlJc w:val="left"/>
      <w:pPr>
        <w:ind w:left="639" w:hanging="360"/>
        <w:jc w:val="left"/>
      </w:pPr>
      <w:rPr>
        <w:rFonts w:hint="default" w:ascii="Arial" w:hAnsi="Arial" w:eastAsia="Arial" w:cs="Arial"/>
        <w:b/>
        <w:bCs/>
        <w:spacing w:val="-1"/>
        <w:w w:val="100"/>
        <w:sz w:val="24"/>
        <w:szCs w:val="24"/>
      </w:rPr>
    </w:lvl>
    <w:lvl w:ilvl="1">
      <w:start w:val="1"/>
      <w:numFmt w:val="decimal"/>
      <w:lvlText w:val="%1.%2."/>
      <w:lvlJc w:val="left"/>
      <w:pPr>
        <w:ind w:left="869" w:hanging="590"/>
        <w:jc w:val="left"/>
      </w:pPr>
      <w:rPr>
        <w:rFonts w:hint="default" w:ascii="Arial" w:hAnsi="Arial" w:eastAsia="Arial" w:cs="Arial"/>
        <w:spacing w:val="-11"/>
        <w:w w:val="100"/>
        <w:sz w:val="24"/>
        <w:szCs w:val="24"/>
      </w:rPr>
    </w:lvl>
    <w:lvl w:ilvl="2">
      <w:start w:val="1"/>
      <w:numFmt w:val="decimal"/>
      <w:lvlText w:val="%1.%2.%3."/>
      <w:lvlJc w:val="left"/>
      <w:pPr>
        <w:ind w:left="1100" w:hanging="821"/>
        <w:jc w:val="left"/>
      </w:pPr>
      <w:rPr>
        <w:rFonts w:hint="default" w:ascii="Arial" w:hAnsi="Arial" w:eastAsia="Arial" w:cs="Arial"/>
        <w:spacing w:val="-1"/>
        <w:w w:val="100"/>
        <w:sz w:val="24"/>
        <w:szCs w:val="24"/>
      </w:rPr>
    </w:lvl>
    <w:lvl w:ilvl="3">
      <w:start w:val="1"/>
      <w:numFmt w:val="decimal"/>
      <w:lvlText w:val="%1.%2.%3.%4."/>
      <w:lvlJc w:val="left"/>
      <w:pPr>
        <w:ind w:left="1359" w:hanging="1080"/>
        <w:jc w:val="left"/>
      </w:pPr>
      <w:rPr>
        <w:rFonts w:hint="default" w:ascii="Arial" w:hAnsi="Arial" w:eastAsia="Arial" w:cs="Arial"/>
        <w:spacing w:val="-1"/>
        <w:w w:val="100"/>
        <w:sz w:val="24"/>
        <w:szCs w:val="24"/>
      </w:rPr>
    </w:lvl>
    <w:lvl w:ilvl="4">
      <w:start w:val="0"/>
      <w:numFmt w:val="bullet"/>
      <w:lvlText w:val="•"/>
      <w:lvlJc w:val="left"/>
      <w:pPr>
        <w:ind w:left="1360" w:hanging="1080"/>
      </w:pPr>
      <w:rPr>
        <w:rFonts w:hint="default"/>
      </w:rPr>
    </w:lvl>
    <w:lvl w:ilvl="5">
      <w:start w:val="0"/>
      <w:numFmt w:val="bullet"/>
      <w:lvlText w:val="•"/>
      <w:lvlJc w:val="left"/>
      <w:pPr>
        <w:ind w:left="2910" w:hanging="1080"/>
      </w:pPr>
      <w:rPr>
        <w:rFonts w:hint="default"/>
      </w:rPr>
    </w:lvl>
    <w:lvl w:ilvl="6">
      <w:start w:val="0"/>
      <w:numFmt w:val="bullet"/>
      <w:lvlText w:val="•"/>
      <w:lvlJc w:val="left"/>
      <w:pPr>
        <w:ind w:left="4460" w:hanging="1080"/>
      </w:pPr>
      <w:rPr>
        <w:rFonts w:hint="default"/>
      </w:rPr>
    </w:lvl>
    <w:lvl w:ilvl="7">
      <w:start w:val="0"/>
      <w:numFmt w:val="bullet"/>
      <w:lvlText w:val="•"/>
      <w:lvlJc w:val="left"/>
      <w:pPr>
        <w:ind w:left="6010" w:hanging="1080"/>
      </w:pPr>
      <w:rPr>
        <w:rFonts w:hint="default"/>
      </w:rPr>
    </w:lvl>
    <w:lvl w:ilvl="8">
      <w:start w:val="0"/>
      <w:numFmt w:val="bullet"/>
      <w:lvlText w:val="•"/>
      <w:lvlJc w:val="left"/>
      <w:pPr>
        <w:ind w:left="7560" w:hanging="1080"/>
      </w:pPr>
      <w:rPr>
        <w:rFonts w:hint="default"/>
      </w:rPr>
    </w:lvl>
  </w:abstractNum>
  <w:abstractNum w:abstractNumId="34">
    <w:multiLevelType w:val="hybridMultilevel"/>
    <w:lvl w:ilvl="0">
      <w:start w:val="4"/>
      <w:numFmt w:val="decimal"/>
      <w:lvlText w:val="%1"/>
      <w:lvlJc w:val="left"/>
      <w:pPr>
        <w:ind w:left="1100" w:hanging="821"/>
        <w:jc w:val="left"/>
      </w:pPr>
      <w:rPr>
        <w:rFonts w:hint="default"/>
      </w:rPr>
    </w:lvl>
    <w:lvl w:ilvl="1">
      <w:start w:val="11"/>
      <w:numFmt w:val="decimal"/>
      <w:lvlText w:val="%1.%2"/>
      <w:lvlJc w:val="left"/>
      <w:pPr>
        <w:ind w:left="1100" w:hanging="821"/>
        <w:jc w:val="left"/>
      </w:pPr>
      <w:rPr>
        <w:rFonts w:hint="default"/>
      </w:rPr>
    </w:lvl>
    <w:lvl w:ilvl="2">
      <w:start w:val="4"/>
      <w:numFmt w:val="decimal"/>
      <w:lvlText w:val="%1.%2.%3."/>
      <w:lvlJc w:val="left"/>
      <w:pPr>
        <w:ind w:left="1100" w:hanging="821"/>
        <w:jc w:val="left"/>
      </w:pPr>
      <w:rPr>
        <w:rFonts w:hint="default" w:ascii="Arial" w:hAnsi="Arial" w:eastAsia="Arial" w:cs="Arial"/>
        <w:w w:val="100"/>
        <w:sz w:val="24"/>
        <w:szCs w:val="24"/>
      </w:rPr>
    </w:lvl>
    <w:lvl w:ilvl="3">
      <w:start w:val="0"/>
      <w:numFmt w:val="bullet"/>
      <w:lvlText w:val="•"/>
      <w:lvlJc w:val="left"/>
      <w:pPr>
        <w:ind w:left="3968" w:hanging="821"/>
      </w:pPr>
      <w:rPr>
        <w:rFonts w:hint="default"/>
      </w:rPr>
    </w:lvl>
    <w:lvl w:ilvl="4">
      <w:start w:val="0"/>
      <w:numFmt w:val="bullet"/>
      <w:lvlText w:val="•"/>
      <w:lvlJc w:val="left"/>
      <w:pPr>
        <w:ind w:left="4924" w:hanging="821"/>
      </w:pPr>
      <w:rPr>
        <w:rFonts w:hint="default"/>
      </w:rPr>
    </w:lvl>
    <w:lvl w:ilvl="5">
      <w:start w:val="0"/>
      <w:numFmt w:val="bullet"/>
      <w:lvlText w:val="•"/>
      <w:lvlJc w:val="left"/>
      <w:pPr>
        <w:ind w:left="5880" w:hanging="821"/>
      </w:pPr>
      <w:rPr>
        <w:rFonts w:hint="default"/>
      </w:rPr>
    </w:lvl>
    <w:lvl w:ilvl="6">
      <w:start w:val="0"/>
      <w:numFmt w:val="bullet"/>
      <w:lvlText w:val="•"/>
      <w:lvlJc w:val="left"/>
      <w:pPr>
        <w:ind w:left="6836" w:hanging="821"/>
      </w:pPr>
      <w:rPr>
        <w:rFonts w:hint="default"/>
      </w:rPr>
    </w:lvl>
    <w:lvl w:ilvl="7">
      <w:start w:val="0"/>
      <w:numFmt w:val="bullet"/>
      <w:lvlText w:val="•"/>
      <w:lvlJc w:val="left"/>
      <w:pPr>
        <w:ind w:left="7792" w:hanging="821"/>
      </w:pPr>
      <w:rPr>
        <w:rFonts w:hint="default"/>
      </w:rPr>
    </w:lvl>
    <w:lvl w:ilvl="8">
      <w:start w:val="0"/>
      <w:numFmt w:val="bullet"/>
      <w:lvlText w:val="•"/>
      <w:lvlJc w:val="left"/>
      <w:pPr>
        <w:ind w:left="8748" w:hanging="821"/>
      </w:pPr>
      <w:rPr>
        <w:rFonts w:hint="default"/>
      </w:rPr>
    </w:lvl>
  </w:abstractNum>
  <w:abstractNum w:abstractNumId="33">
    <w:multiLevelType w:val="hybridMultilevel"/>
    <w:lvl w:ilvl="0">
      <w:start w:val="4"/>
      <w:numFmt w:val="decimal"/>
      <w:lvlText w:val="%1"/>
      <w:lvlJc w:val="left"/>
      <w:pPr>
        <w:ind w:left="1100" w:hanging="821"/>
        <w:jc w:val="left"/>
      </w:pPr>
      <w:rPr>
        <w:rFonts w:hint="default"/>
      </w:rPr>
    </w:lvl>
    <w:lvl w:ilvl="1">
      <w:start w:val="9"/>
      <w:numFmt w:val="decimal"/>
      <w:lvlText w:val="%1.%2"/>
      <w:lvlJc w:val="left"/>
      <w:pPr>
        <w:ind w:left="1100" w:hanging="821"/>
        <w:jc w:val="left"/>
      </w:pPr>
      <w:rPr>
        <w:rFonts w:hint="default"/>
      </w:rPr>
    </w:lvl>
    <w:lvl w:ilvl="2">
      <w:start w:val="2"/>
      <w:numFmt w:val="decimal"/>
      <w:lvlText w:val="%1.%2.%3."/>
      <w:lvlJc w:val="left"/>
      <w:pPr>
        <w:ind w:left="1100" w:hanging="821"/>
        <w:jc w:val="left"/>
      </w:pPr>
      <w:rPr>
        <w:rFonts w:hint="default" w:ascii="Arial" w:hAnsi="Arial" w:eastAsia="Arial" w:cs="Arial"/>
        <w:spacing w:val="-2"/>
        <w:w w:val="100"/>
        <w:sz w:val="24"/>
        <w:szCs w:val="24"/>
      </w:rPr>
    </w:lvl>
    <w:lvl w:ilvl="3">
      <w:start w:val="1"/>
      <w:numFmt w:val="decimal"/>
      <w:lvlText w:val="%1.%2.%3.%4."/>
      <w:lvlJc w:val="left"/>
      <w:pPr>
        <w:ind w:left="1360" w:hanging="1080"/>
        <w:jc w:val="left"/>
      </w:pPr>
      <w:rPr>
        <w:rFonts w:hint="default" w:ascii="Arial" w:hAnsi="Arial" w:eastAsia="Arial" w:cs="Arial"/>
        <w:spacing w:val="-2"/>
        <w:w w:val="100"/>
        <w:sz w:val="24"/>
        <w:szCs w:val="24"/>
      </w:rPr>
    </w:lvl>
    <w:lvl w:ilvl="4">
      <w:start w:val="0"/>
      <w:numFmt w:val="bullet"/>
      <w:lvlText w:val="•"/>
      <w:lvlJc w:val="left"/>
      <w:pPr>
        <w:ind w:left="4460" w:hanging="1080"/>
      </w:pPr>
      <w:rPr>
        <w:rFonts w:hint="default"/>
      </w:rPr>
    </w:lvl>
    <w:lvl w:ilvl="5">
      <w:start w:val="0"/>
      <w:numFmt w:val="bullet"/>
      <w:lvlText w:val="•"/>
      <w:lvlJc w:val="left"/>
      <w:pPr>
        <w:ind w:left="5493" w:hanging="1080"/>
      </w:pPr>
      <w:rPr>
        <w:rFonts w:hint="default"/>
      </w:rPr>
    </w:lvl>
    <w:lvl w:ilvl="6">
      <w:start w:val="0"/>
      <w:numFmt w:val="bullet"/>
      <w:lvlText w:val="•"/>
      <w:lvlJc w:val="left"/>
      <w:pPr>
        <w:ind w:left="6526" w:hanging="1080"/>
      </w:pPr>
      <w:rPr>
        <w:rFonts w:hint="default"/>
      </w:rPr>
    </w:lvl>
    <w:lvl w:ilvl="7">
      <w:start w:val="0"/>
      <w:numFmt w:val="bullet"/>
      <w:lvlText w:val="•"/>
      <w:lvlJc w:val="left"/>
      <w:pPr>
        <w:ind w:left="7560" w:hanging="1080"/>
      </w:pPr>
      <w:rPr>
        <w:rFonts w:hint="default"/>
      </w:rPr>
    </w:lvl>
    <w:lvl w:ilvl="8">
      <w:start w:val="0"/>
      <w:numFmt w:val="bullet"/>
      <w:lvlText w:val="•"/>
      <w:lvlJc w:val="left"/>
      <w:pPr>
        <w:ind w:left="8593" w:hanging="1080"/>
      </w:pPr>
      <w:rPr>
        <w:rFonts w:hint="default"/>
      </w:rPr>
    </w:lvl>
  </w:abstractNum>
  <w:abstractNum w:abstractNumId="32">
    <w:multiLevelType w:val="hybridMultilevel"/>
    <w:lvl w:ilvl="0">
      <w:start w:val="4"/>
      <w:numFmt w:val="decimal"/>
      <w:lvlText w:val="%1"/>
      <w:lvlJc w:val="left"/>
      <w:pPr>
        <w:ind w:left="1100" w:hanging="821"/>
        <w:jc w:val="left"/>
      </w:pPr>
      <w:rPr>
        <w:rFonts w:hint="default"/>
      </w:rPr>
    </w:lvl>
    <w:lvl w:ilvl="1">
      <w:start w:val="6"/>
      <w:numFmt w:val="decimal"/>
      <w:lvlText w:val="%1.%2"/>
      <w:lvlJc w:val="left"/>
      <w:pPr>
        <w:ind w:left="1100" w:hanging="821"/>
        <w:jc w:val="left"/>
      </w:pPr>
      <w:rPr>
        <w:rFonts w:hint="default"/>
      </w:rPr>
    </w:lvl>
    <w:lvl w:ilvl="2">
      <w:start w:val="3"/>
      <w:numFmt w:val="decimal"/>
      <w:lvlText w:val="%1.%2.%3."/>
      <w:lvlJc w:val="left"/>
      <w:pPr>
        <w:ind w:left="1100" w:hanging="821"/>
        <w:jc w:val="left"/>
      </w:pPr>
      <w:rPr>
        <w:rFonts w:hint="default" w:ascii="Arial" w:hAnsi="Arial" w:eastAsia="Arial" w:cs="Arial"/>
        <w:spacing w:val="-1"/>
        <w:w w:val="100"/>
        <w:sz w:val="24"/>
        <w:szCs w:val="24"/>
      </w:rPr>
    </w:lvl>
    <w:lvl w:ilvl="3">
      <w:start w:val="1"/>
      <w:numFmt w:val="decimal"/>
      <w:lvlText w:val="%1.%2.%3.%4."/>
      <w:lvlJc w:val="left"/>
      <w:pPr>
        <w:ind w:left="1360" w:hanging="1080"/>
        <w:jc w:val="left"/>
      </w:pPr>
      <w:rPr>
        <w:rFonts w:hint="default" w:ascii="Arial" w:hAnsi="Arial" w:eastAsia="Arial" w:cs="Arial"/>
        <w:spacing w:val="-1"/>
        <w:w w:val="100"/>
        <w:sz w:val="24"/>
        <w:szCs w:val="24"/>
      </w:rPr>
    </w:lvl>
    <w:lvl w:ilvl="4">
      <w:start w:val="0"/>
      <w:numFmt w:val="bullet"/>
      <w:lvlText w:val="•"/>
      <w:lvlJc w:val="left"/>
      <w:pPr>
        <w:ind w:left="4460" w:hanging="1080"/>
      </w:pPr>
      <w:rPr>
        <w:rFonts w:hint="default"/>
      </w:rPr>
    </w:lvl>
    <w:lvl w:ilvl="5">
      <w:start w:val="0"/>
      <w:numFmt w:val="bullet"/>
      <w:lvlText w:val="•"/>
      <w:lvlJc w:val="left"/>
      <w:pPr>
        <w:ind w:left="5493" w:hanging="1080"/>
      </w:pPr>
      <w:rPr>
        <w:rFonts w:hint="default"/>
      </w:rPr>
    </w:lvl>
    <w:lvl w:ilvl="6">
      <w:start w:val="0"/>
      <w:numFmt w:val="bullet"/>
      <w:lvlText w:val="•"/>
      <w:lvlJc w:val="left"/>
      <w:pPr>
        <w:ind w:left="6526" w:hanging="1080"/>
      </w:pPr>
      <w:rPr>
        <w:rFonts w:hint="default"/>
      </w:rPr>
    </w:lvl>
    <w:lvl w:ilvl="7">
      <w:start w:val="0"/>
      <w:numFmt w:val="bullet"/>
      <w:lvlText w:val="•"/>
      <w:lvlJc w:val="left"/>
      <w:pPr>
        <w:ind w:left="7560" w:hanging="1080"/>
      </w:pPr>
      <w:rPr>
        <w:rFonts w:hint="default"/>
      </w:rPr>
    </w:lvl>
    <w:lvl w:ilvl="8">
      <w:start w:val="0"/>
      <w:numFmt w:val="bullet"/>
      <w:lvlText w:val="•"/>
      <w:lvlJc w:val="left"/>
      <w:pPr>
        <w:ind w:left="8593" w:hanging="1080"/>
      </w:pPr>
      <w:rPr>
        <w:rFonts w:hint="default"/>
      </w:rPr>
    </w:lvl>
  </w:abstractNum>
  <w:abstractNum w:abstractNumId="31">
    <w:multiLevelType w:val="hybridMultilevel"/>
    <w:lvl w:ilvl="0">
      <w:start w:val="3"/>
      <w:numFmt w:val="decimal"/>
      <w:lvlText w:val="%1"/>
      <w:lvlJc w:val="left"/>
      <w:pPr>
        <w:ind w:left="1100" w:hanging="821"/>
        <w:jc w:val="left"/>
      </w:pPr>
      <w:rPr>
        <w:rFonts w:hint="default"/>
      </w:rPr>
    </w:lvl>
    <w:lvl w:ilvl="1">
      <w:start w:val="11"/>
      <w:numFmt w:val="decimal"/>
      <w:lvlText w:val="%1.%2"/>
      <w:lvlJc w:val="left"/>
      <w:pPr>
        <w:ind w:left="1100" w:hanging="821"/>
        <w:jc w:val="left"/>
      </w:pPr>
      <w:rPr>
        <w:rFonts w:hint="default"/>
      </w:rPr>
    </w:lvl>
    <w:lvl w:ilvl="2">
      <w:start w:val="2"/>
      <w:numFmt w:val="decimal"/>
      <w:lvlText w:val="%1.%2.%3."/>
      <w:lvlJc w:val="left"/>
      <w:pPr>
        <w:ind w:left="1100" w:hanging="821"/>
        <w:jc w:val="left"/>
      </w:pPr>
      <w:rPr>
        <w:rFonts w:hint="default" w:ascii="Arial" w:hAnsi="Arial" w:eastAsia="Arial" w:cs="Arial"/>
        <w:w w:val="100"/>
        <w:sz w:val="24"/>
        <w:szCs w:val="24"/>
      </w:rPr>
    </w:lvl>
    <w:lvl w:ilvl="3">
      <w:start w:val="1"/>
      <w:numFmt w:val="decimal"/>
      <w:lvlText w:val="%1.%2.%3.%4."/>
      <w:lvlJc w:val="left"/>
      <w:pPr>
        <w:ind w:left="1360" w:hanging="1080"/>
        <w:jc w:val="left"/>
      </w:pPr>
      <w:rPr>
        <w:rFonts w:hint="default" w:ascii="Arial" w:hAnsi="Arial" w:eastAsia="Arial" w:cs="Arial"/>
        <w:spacing w:val="-1"/>
        <w:w w:val="100"/>
        <w:sz w:val="24"/>
        <w:szCs w:val="24"/>
      </w:rPr>
    </w:lvl>
    <w:lvl w:ilvl="4">
      <w:start w:val="1"/>
      <w:numFmt w:val="decimal"/>
      <w:lvlText w:val="%1.%2.%3.%4.%5."/>
      <w:lvlJc w:val="left"/>
      <w:pPr>
        <w:ind w:left="1576" w:hanging="1296"/>
        <w:jc w:val="left"/>
      </w:pPr>
      <w:rPr>
        <w:rFonts w:hint="default" w:ascii="Arial" w:hAnsi="Arial" w:eastAsia="Arial" w:cs="Arial"/>
        <w:spacing w:val="-22"/>
        <w:w w:val="99"/>
        <w:sz w:val="24"/>
        <w:szCs w:val="24"/>
      </w:rPr>
    </w:lvl>
    <w:lvl w:ilvl="5">
      <w:start w:val="1"/>
      <w:numFmt w:val="decimal"/>
      <w:lvlText w:val="%1.%2.%3.%4.%5.%6."/>
      <w:lvlJc w:val="left"/>
      <w:pPr>
        <w:ind w:left="1792" w:hanging="1510"/>
        <w:jc w:val="left"/>
      </w:pPr>
      <w:rPr>
        <w:rFonts w:hint="default" w:ascii="Arial" w:hAnsi="Arial" w:eastAsia="Arial" w:cs="Arial"/>
        <w:spacing w:val="-23"/>
        <w:w w:val="99"/>
        <w:sz w:val="24"/>
        <w:szCs w:val="24"/>
      </w:rPr>
    </w:lvl>
    <w:lvl w:ilvl="6">
      <w:start w:val="0"/>
      <w:numFmt w:val="bullet"/>
      <w:lvlText w:val="•"/>
      <w:lvlJc w:val="left"/>
      <w:pPr>
        <w:ind w:left="5597" w:hanging="1510"/>
      </w:pPr>
      <w:rPr>
        <w:rFonts w:hint="default"/>
      </w:rPr>
    </w:lvl>
    <w:lvl w:ilvl="7">
      <w:start w:val="0"/>
      <w:numFmt w:val="bullet"/>
      <w:lvlText w:val="•"/>
      <w:lvlJc w:val="left"/>
      <w:pPr>
        <w:ind w:left="6862" w:hanging="1510"/>
      </w:pPr>
      <w:rPr>
        <w:rFonts w:hint="default"/>
      </w:rPr>
    </w:lvl>
    <w:lvl w:ilvl="8">
      <w:start w:val="0"/>
      <w:numFmt w:val="bullet"/>
      <w:lvlText w:val="•"/>
      <w:lvlJc w:val="left"/>
      <w:pPr>
        <w:ind w:left="8128" w:hanging="1510"/>
      </w:pPr>
      <w:rPr>
        <w:rFonts w:hint="default"/>
      </w:rPr>
    </w:lvl>
  </w:abstractNum>
  <w:abstractNum w:abstractNumId="30">
    <w:multiLevelType w:val="hybridMultilevel"/>
    <w:lvl w:ilvl="0">
      <w:start w:val="0"/>
      <w:numFmt w:val="bullet"/>
      <w:lvlText w:val=""/>
      <w:lvlJc w:val="left"/>
      <w:pPr>
        <w:ind w:left="910" w:hanging="361"/>
      </w:pPr>
      <w:rPr>
        <w:rFonts w:hint="default" w:ascii="Symbol" w:hAnsi="Symbol" w:eastAsia="Symbol" w:cs="Symbol"/>
        <w:w w:val="100"/>
        <w:sz w:val="24"/>
        <w:szCs w:val="24"/>
      </w:rPr>
    </w:lvl>
    <w:lvl w:ilvl="1">
      <w:start w:val="0"/>
      <w:numFmt w:val="bullet"/>
      <w:lvlText w:val="•"/>
      <w:lvlJc w:val="left"/>
      <w:pPr>
        <w:ind w:left="1876" w:hanging="361"/>
      </w:pPr>
      <w:rPr>
        <w:rFonts w:hint="default"/>
      </w:rPr>
    </w:lvl>
    <w:lvl w:ilvl="2">
      <w:start w:val="0"/>
      <w:numFmt w:val="bullet"/>
      <w:lvlText w:val="•"/>
      <w:lvlJc w:val="left"/>
      <w:pPr>
        <w:ind w:left="2852" w:hanging="361"/>
      </w:pPr>
      <w:rPr>
        <w:rFonts w:hint="default"/>
      </w:rPr>
    </w:lvl>
    <w:lvl w:ilvl="3">
      <w:start w:val="0"/>
      <w:numFmt w:val="bullet"/>
      <w:lvlText w:val="•"/>
      <w:lvlJc w:val="left"/>
      <w:pPr>
        <w:ind w:left="3828" w:hanging="361"/>
      </w:pPr>
      <w:rPr>
        <w:rFonts w:hint="default"/>
      </w:rPr>
    </w:lvl>
    <w:lvl w:ilvl="4">
      <w:start w:val="0"/>
      <w:numFmt w:val="bullet"/>
      <w:lvlText w:val="•"/>
      <w:lvlJc w:val="left"/>
      <w:pPr>
        <w:ind w:left="4804" w:hanging="361"/>
      </w:pPr>
      <w:rPr>
        <w:rFonts w:hint="default"/>
      </w:rPr>
    </w:lvl>
    <w:lvl w:ilvl="5">
      <w:start w:val="0"/>
      <w:numFmt w:val="bullet"/>
      <w:lvlText w:val="•"/>
      <w:lvlJc w:val="left"/>
      <w:pPr>
        <w:ind w:left="5780" w:hanging="361"/>
      </w:pPr>
      <w:rPr>
        <w:rFonts w:hint="default"/>
      </w:rPr>
    </w:lvl>
    <w:lvl w:ilvl="6">
      <w:start w:val="0"/>
      <w:numFmt w:val="bullet"/>
      <w:lvlText w:val="•"/>
      <w:lvlJc w:val="left"/>
      <w:pPr>
        <w:ind w:left="6756" w:hanging="361"/>
      </w:pPr>
      <w:rPr>
        <w:rFonts w:hint="default"/>
      </w:rPr>
    </w:lvl>
    <w:lvl w:ilvl="7">
      <w:start w:val="0"/>
      <w:numFmt w:val="bullet"/>
      <w:lvlText w:val="•"/>
      <w:lvlJc w:val="left"/>
      <w:pPr>
        <w:ind w:left="7732" w:hanging="361"/>
      </w:pPr>
      <w:rPr>
        <w:rFonts w:hint="default"/>
      </w:rPr>
    </w:lvl>
    <w:lvl w:ilvl="8">
      <w:start w:val="0"/>
      <w:numFmt w:val="bullet"/>
      <w:lvlText w:val="•"/>
      <w:lvlJc w:val="left"/>
      <w:pPr>
        <w:ind w:left="8708" w:hanging="361"/>
      </w:pPr>
      <w:rPr>
        <w:rFonts w:hint="default"/>
      </w:rPr>
    </w:lvl>
  </w:abstractNum>
  <w:abstractNum w:abstractNumId="29">
    <w:multiLevelType w:val="hybridMultilevel"/>
    <w:lvl w:ilvl="0">
      <w:start w:val="1"/>
      <w:numFmt w:val="decimal"/>
      <w:lvlText w:val="%1."/>
      <w:lvlJc w:val="left"/>
      <w:pPr>
        <w:ind w:left="639" w:hanging="360"/>
        <w:jc w:val="left"/>
      </w:pPr>
      <w:rPr>
        <w:rFonts w:hint="default" w:ascii="Arial" w:hAnsi="Arial" w:eastAsia="Arial" w:cs="Arial"/>
        <w:b/>
        <w:bCs/>
        <w:spacing w:val="-1"/>
        <w:w w:val="100"/>
        <w:sz w:val="24"/>
        <w:szCs w:val="24"/>
      </w:rPr>
    </w:lvl>
    <w:lvl w:ilvl="1">
      <w:start w:val="1"/>
      <w:numFmt w:val="decimal"/>
      <w:lvlText w:val="%1.%2."/>
      <w:lvlJc w:val="left"/>
      <w:pPr>
        <w:ind w:left="870" w:hanging="591"/>
        <w:jc w:val="left"/>
      </w:pPr>
      <w:rPr>
        <w:rFonts w:hint="default" w:ascii="Arial" w:hAnsi="Arial" w:eastAsia="Arial" w:cs="Arial"/>
        <w:spacing w:val="-11"/>
        <w:w w:val="100"/>
        <w:sz w:val="24"/>
        <w:szCs w:val="24"/>
      </w:rPr>
    </w:lvl>
    <w:lvl w:ilvl="2">
      <w:start w:val="1"/>
      <w:numFmt w:val="decimal"/>
      <w:lvlText w:val="%1.%2.%3."/>
      <w:lvlJc w:val="left"/>
      <w:pPr>
        <w:ind w:left="1100" w:hanging="821"/>
        <w:jc w:val="left"/>
      </w:pPr>
      <w:rPr>
        <w:rFonts w:hint="default" w:ascii="Arial" w:hAnsi="Arial" w:eastAsia="Arial" w:cs="Arial"/>
        <w:spacing w:val="-1"/>
        <w:w w:val="100"/>
        <w:sz w:val="24"/>
        <w:szCs w:val="24"/>
      </w:rPr>
    </w:lvl>
    <w:lvl w:ilvl="3">
      <w:start w:val="1"/>
      <w:numFmt w:val="decimal"/>
      <w:lvlText w:val="%1.%2.%3.%4."/>
      <w:lvlJc w:val="left"/>
      <w:pPr>
        <w:ind w:left="1360" w:hanging="1080"/>
        <w:jc w:val="left"/>
      </w:pPr>
      <w:rPr>
        <w:rFonts w:hint="default" w:ascii="Arial" w:hAnsi="Arial" w:eastAsia="Arial" w:cs="Arial"/>
        <w:spacing w:val="-1"/>
        <w:w w:val="100"/>
        <w:sz w:val="24"/>
        <w:szCs w:val="24"/>
      </w:rPr>
    </w:lvl>
    <w:lvl w:ilvl="4">
      <w:start w:val="1"/>
      <w:numFmt w:val="decimal"/>
      <w:lvlText w:val="%1.%2.%3.%4.%5."/>
      <w:lvlJc w:val="left"/>
      <w:pPr>
        <w:ind w:left="1575" w:hanging="1296"/>
        <w:jc w:val="left"/>
      </w:pPr>
      <w:rPr>
        <w:rFonts w:hint="default" w:ascii="Arial" w:hAnsi="Arial" w:eastAsia="Arial" w:cs="Arial"/>
        <w:spacing w:val="-1"/>
        <w:w w:val="100"/>
        <w:sz w:val="24"/>
        <w:szCs w:val="24"/>
      </w:rPr>
    </w:lvl>
    <w:lvl w:ilvl="5">
      <w:start w:val="0"/>
      <w:numFmt w:val="bullet"/>
      <w:lvlText w:val="•"/>
      <w:lvlJc w:val="left"/>
      <w:pPr>
        <w:ind w:left="3093" w:hanging="1296"/>
      </w:pPr>
      <w:rPr>
        <w:rFonts w:hint="default"/>
      </w:rPr>
    </w:lvl>
    <w:lvl w:ilvl="6">
      <w:start w:val="0"/>
      <w:numFmt w:val="bullet"/>
      <w:lvlText w:val="•"/>
      <w:lvlJc w:val="left"/>
      <w:pPr>
        <w:ind w:left="4606" w:hanging="1296"/>
      </w:pPr>
      <w:rPr>
        <w:rFonts w:hint="default"/>
      </w:rPr>
    </w:lvl>
    <w:lvl w:ilvl="7">
      <w:start w:val="0"/>
      <w:numFmt w:val="bullet"/>
      <w:lvlText w:val="•"/>
      <w:lvlJc w:val="left"/>
      <w:pPr>
        <w:ind w:left="6120" w:hanging="1296"/>
      </w:pPr>
      <w:rPr>
        <w:rFonts w:hint="default"/>
      </w:rPr>
    </w:lvl>
    <w:lvl w:ilvl="8">
      <w:start w:val="0"/>
      <w:numFmt w:val="bullet"/>
      <w:lvlText w:val="•"/>
      <w:lvlJc w:val="left"/>
      <w:pPr>
        <w:ind w:left="7633" w:hanging="1296"/>
      </w:pPr>
      <w:rPr>
        <w:rFonts w:hint="default"/>
      </w:rPr>
    </w:lvl>
  </w:abstractNum>
  <w:abstractNum w:abstractNumId="28">
    <w:multiLevelType w:val="hybridMultilevel"/>
    <w:lvl w:ilvl="0">
      <w:start w:val="4"/>
      <w:numFmt w:val="decimal"/>
      <w:lvlText w:val="%1"/>
      <w:lvlJc w:val="left"/>
      <w:pPr>
        <w:ind w:left="1000" w:hanging="476"/>
        <w:jc w:val="left"/>
      </w:pPr>
      <w:rPr>
        <w:rFonts w:hint="default"/>
      </w:rPr>
    </w:lvl>
    <w:lvl w:ilvl="1">
      <w:start w:val="9"/>
      <w:numFmt w:val="decimal"/>
      <w:lvlText w:val="%1.%2."/>
      <w:lvlJc w:val="left"/>
      <w:pPr>
        <w:ind w:left="1000" w:hanging="476"/>
        <w:jc w:val="left"/>
      </w:pPr>
      <w:rPr>
        <w:rFonts w:hint="default" w:ascii="Arial" w:hAnsi="Arial" w:eastAsia="Arial" w:cs="Arial"/>
        <w:spacing w:val="-1"/>
        <w:w w:val="100"/>
        <w:sz w:val="24"/>
        <w:szCs w:val="24"/>
      </w:rPr>
    </w:lvl>
    <w:lvl w:ilvl="2">
      <w:start w:val="1"/>
      <w:numFmt w:val="decimal"/>
      <w:lvlText w:val="%1.%2.%3."/>
      <w:lvlJc w:val="left"/>
      <w:pPr>
        <w:ind w:left="755" w:hanging="845"/>
        <w:jc w:val="left"/>
      </w:pPr>
      <w:rPr>
        <w:rFonts w:hint="default" w:ascii="Arial" w:hAnsi="Arial" w:eastAsia="Arial" w:cs="Arial"/>
        <w:spacing w:val="-51"/>
        <w:w w:val="100"/>
        <w:sz w:val="24"/>
        <w:szCs w:val="24"/>
      </w:rPr>
    </w:lvl>
    <w:lvl w:ilvl="3">
      <w:start w:val="0"/>
      <w:numFmt w:val="bullet"/>
      <w:lvlText w:val="•"/>
      <w:lvlJc w:val="left"/>
      <w:pPr>
        <w:ind w:left="2207" w:hanging="845"/>
      </w:pPr>
      <w:rPr>
        <w:rFonts w:hint="default"/>
      </w:rPr>
    </w:lvl>
    <w:lvl w:ilvl="4">
      <w:start w:val="0"/>
      <w:numFmt w:val="bullet"/>
      <w:lvlText w:val="•"/>
      <w:lvlJc w:val="left"/>
      <w:pPr>
        <w:ind w:left="3415" w:hanging="845"/>
      </w:pPr>
      <w:rPr>
        <w:rFonts w:hint="default"/>
      </w:rPr>
    </w:lvl>
    <w:lvl w:ilvl="5">
      <w:start w:val="0"/>
      <w:numFmt w:val="bullet"/>
      <w:lvlText w:val="•"/>
      <w:lvlJc w:val="left"/>
      <w:pPr>
        <w:ind w:left="4622" w:hanging="845"/>
      </w:pPr>
      <w:rPr>
        <w:rFonts w:hint="default"/>
      </w:rPr>
    </w:lvl>
    <w:lvl w:ilvl="6">
      <w:start w:val="0"/>
      <w:numFmt w:val="bullet"/>
      <w:lvlText w:val="•"/>
      <w:lvlJc w:val="left"/>
      <w:pPr>
        <w:ind w:left="5830" w:hanging="845"/>
      </w:pPr>
      <w:rPr>
        <w:rFonts w:hint="default"/>
      </w:rPr>
    </w:lvl>
    <w:lvl w:ilvl="7">
      <w:start w:val="0"/>
      <w:numFmt w:val="bullet"/>
      <w:lvlText w:val="•"/>
      <w:lvlJc w:val="left"/>
      <w:pPr>
        <w:ind w:left="7037" w:hanging="845"/>
      </w:pPr>
      <w:rPr>
        <w:rFonts w:hint="default"/>
      </w:rPr>
    </w:lvl>
    <w:lvl w:ilvl="8">
      <w:start w:val="0"/>
      <w:numFmt w:val="bullet"/>
      <w:lvlText w:val="•"/>
      <w:lvlJc w:val="left"/>
      <w:pPr>
        <w:ind w:left="8245" w:hanging="845"/>
      </w:pPr>
      <w:rPr>
        <w:rFonts w:hint="default"/>
      </w:rPr>
    </w:lvl>
  </w:abstractNum>
  <w:abstractNum w:abstractNumId="27">
    <w:multiLevelType w:val="hybridMultilevel"/>
    <w:lvl w:ilvl="0">
      <w:start w:val="4"/>
      <w:numFmt w:val="decimal"/>
      <w:lvlText w:val="%1"/>
      <w:lvlJc w:val="left"/>
      <w:pPr>
        <w:ind w:left="1600" w:hanging="845"/>
        <w:jc w:val="left"/>
      </w:pPr>
      <w:rPr>
        <w:rFonts w:hint="default"/>
      </w:rPr>
    </w:lvl>
    <w:lvl w:ilvl="1">
      <w:start w:val="6"/>
      <w:numFmt w:val="decimal"/>
      <w:lvlText w:val="%1.%2"/>
      <w:lvlJc w:val="left"/>
      <w:pPr>
        <w:ind w:left="1600" w:hanging="845"/>
        <w:jc w:val="left"/>
      </w:pPr>
      <w:rPr>
        <w:rFonts w:hint="default"/>
      </w:rPr>
    </w:lvl>
    <w:lvl w:ilvl="2">
      <w:start w:val="2"/>
      <w:numFmt w:val="decimal"/>
      <w:lvlText w:val="%1.%2.%3."/>
      <w:lvlJc w:val="left"/>
      <w:pPr>
        <w:ind w:left="1600" w:hanging="845"/>
        <w:jc w:val="left"/>
      </w:pPr>
      <w:rPr>
        <w:rFonts w:hint="default" w:ascii="Arial" w:hAnsi="Arial" w:eastAsia="Arial" w:cs="Arial"/>
        <w:spacing w:val="-51"/>
        <w:w w:val="100"/>
        <w:sz w:val="24"/>
        <w:szCs w:val="24"/>
      </w:rPr>
    </w:lvl>
    <w:lvl w:ilvl="3">
      <w:start w:val="0"/>
      <w:numFmt w:val="bullet"/>
      <w:lvlText w:val="•"/>
      <w:lvlJc w:val="left"/>
      <w:pPr>
        <w:ind w:left="4318" w:hanging="845"/>
      </w:pPr>
      <w:rPr>
        <w:rFonts w:hint="default"/>
      </w:rPr>
    </w:lvl>
    <w:lvl w:ilvl="4">
      <w:start w:val="0"/>
      <w:numFmt w:val="bullet"/>
      <w:lvlText w:val="•"/>
      <w:lvlJc w:val="left"/>
      <w:pPr>
        <w:ind w:left="5224" w:hanging="845"/>
      </w:pPr>
      <w:rPr>
        <w:rFonts w:hint="default"/>
      </w:rPr>
    </w:lvl>
    <w:lvl w:ilvl="5">
      <w:start w:val="0"/>
      <w:numFmt w:val="bullet"/>
      <w:lvlText w:val="•"/>
      <w:lvlJc w:val="left"/>
      <w:pPr>
        <w:ind w:left="6130" w:hanging="845"/>
      </w:pPr>
      <w:rPr>
        <w:rFonts w:hint="default"/>
      </w:rPr>
    </w:lvl>
    <w:lvl w:ilvl="6">
      <w:start w:val="0"/>
      <w:numFmt w:val="bullet"/>
      <w:lvlText w:val="•"/>
      <w:lvlJc w:val="left"/>
      <w:pPr>
        <w:ind w:left="7036" w:hanging="845"/>
      </w:pPr>
      <w:rPr>
        <w:rFonts w:hint="default"/>
      </w:rPr>
    </w:lvl>
    <w:lvl w:ilvl="7">
      <w:start w:val="0"/>
      <w:numFmt w:val="bullet"/>
      <w:lvlText w:val="•"/>
      <w:lvlJc w:val="left"/>
      <w:pPr>
        <w:ind w:left="7942" w:hanging="845"/>
      </w:pPr>
      <w:rPr>
        <w:rFonts w:hint="default"/>
      </w:rPr>
    </w:lvl>
    <w:lvl w:ilvl="8">
      <w:start w:val="0"/>
      <w:numFmt w:val="bullet"/>
      <w:lvlText w:val="•"/>
      <w:lvlJc w:val="left"/>
      <w:pPr>
        <w:ind w:left="8848" w:hanging="845"/>
      </w:pPr>
      <w:rPr>
        <w:rFonts w:hint="default"/>
      </w:rPr>
    </w:lvl>
  </w:abstractNum>
  <w:abstractNum w:abstractNumId="26">
    <w:multiLevelType w:val="hybridMultilevel"/>
    <w:lvl w:ilvl="0">
      <w:start w:val="3"/>
      <w:numFmt w:val="decimal"/>
      <w:lvlText w:val="%1"/>
      <w:lvlJc w:val="left"/>
      <w:pPr>
        <w:ind w:left="1600" w:hanging="845"/>
        <w:jc w:val="left"/>
      </w:pPr>
      <w:rPr>
        <w:rFonts w:hint="default"/>
      </w:rPr>
    </w:lvl>
    <w:lvl w:ilvl="1">
      <w:start w:val="11"/>
      <w:numFmt w:val="decimal"/>
      <w:lvlText w:val="%1.%2"/>
      <w:lvlJc w:val="left"/>
      <w:pPr>
        <w:ind w:left="1600" w:hanging="845"/>
        <w:jc w:val="left"/>
      </w:pPr>
      <w:rPr>
        <w:rFonts w:hint="default"/>
      </w:rPr>
    </w:lvl>
    <w:lvl w:ilvl="2">
      <w:start w:val="1"/>
      <w:numFmt w:val="decimal"/>
      <w:lvlText w:val="%1.%2.%3."/>
      <w:lvlJc w:val="left"/>
      <w:pPr>
        <w:ind w:left="1600" w:hanging="845"/>
        <w:jc w:val="left"/>
      </w:pPr>
      <w:rPr>
        <w:rFonts w:hint="default" w:ascii="Arial" w:hAnsi="Arial" w:eastAsia="Arial" w:cs="Arial"/>
        <w:spacing w:val="-51"/>
        <w:w w:val="100"/>
        <w:sz w:val="24"/>
        <w:szCs w:val="24"/>
      </w:rPr>
    </w:lvl>
    <w:lvl w:ilvl="3">
      <w:start w:val="0"/>
      <w:numFmt w:val="bullet"/>
      <w:lvlText w:val="•"/>
      <w:lvlJc w:val="left"/>
      <w:pPr>
        <w:ind w:left="4318" w:hanging="845"/>
      </w:pPr>
      <w:rPr>
        <w:rFonts w:hint="default"/>
      </w:rPr>
    </w:lvl>
    <w:lvl w:ilvl="4">
      <w:start w:val="0"/>
      <w:numFmt w:val="bullet"/>
      <w:lvlText w:val="•"/>
      <w:lvlJc w:val="left"/>
      <w:pPr>
        <w:ind w:left="5224" w:hanging="845"/>
      </w:pPr>
      <w:rPr>
        <w:rFonts w:hint="default"/>
      </w:rPr>
    </w:lvl>
    <w:lvl w:ilvl="5">
      <w:start w:val="0"/>
      <w:numFmt w:val="bullet"/>
      <w:lvlText w:val="•"/>
      <w:lvlJc w:val="left"/>
      <w:pPr>
        <w:ind w:left="6130" w:hanging="845"/>
      </w:pPr>
      <w:rPr>
        <w:rFonts w:hint="default"/>
      </w:rPr>
    </w:lvl>
    <w:lvl w:ilvl="6">
      <w:start w:val="0"/>
      <w:numFmt w:val="bullet"/>
      <w:lvlText w:val="•"/>
      <w:lvlJc w:val="left"/>
      <w:pPr>
        <w:ind w:left="7036" w:hanging="845"/>
      </w:pPr>
      <w:rPr>
        <w:rFonts w:hint="default"/>
      </w:rPr>
    </w:lvl>
    <w:lvl w:ilvl="7">
      <w:start w:val="0"/>
      <w:numFmt w:val="bullet"/>
      <w:lvlText w:val="•"/>
      <w:lvlJc w:val="left"/>
      <w:pPr>
        <w:ind w:left="7942" w:hanging="845"/>
      </w:pPr>
      <w:rPr>
        <w:rFonts w:hint="default"/>
      </w:rPr>
    </w:lvl>
    <w:lvl w:ilvl="8">
      <w:start w:val="0"/>
      <w:numFmt w:val="bullet"/>
      <w:lvlText w:val="•"/>
      <w:lvlJc w:val="left"/>
      <w:pPr>
        <w:ind w:left="8848" w:hanging="845"/>
      </w:pPr>
      <w:rPr>
        <w:rFonts w:hint="default"/>
      </w:rPr>
    </w:lvl>
  </w:abstractNum>
  <w:abstractNum w:abstractNumId="25">
    <w:multiLevelType w:val="hybridMultilevel"/>
    <w:lvl w:ilvl="0">
      <w:start w:val="2"/>
      <w:numFmt w:val="decimal"/>
      <w:lvlText w:val="%1"/>
      <w:lvlJc w:val="left"/>
      <w:pPr>
        <w:ind w:left="1000" w:hanging="476"/>
        <w:jc w:val="left"/>
      </w:pPr>
      <w:rPr>
        <w:rFonts w:hint="default"/>
      </w:rPr>
    </w:lvl>
    <w:lvl w:ilvl="1">
      <w:start w:val="3"/>
      <w:numFmt w:val="decimal"/>
      <w:lvlText w:val="%1.%2."/>
      <w:lvlJc w:val="left"/>
      <w:pPr>
        <w:ind w:left="1000" w:hanging="476"/>
        <w:jc w:val="left"/>
      </w:pPr>
      <w:rPr>
        <w:rFonts w:hint="default" w:ascii="Arial" w:hAnsi="Arial" w:eastAsia="Arial" w:cs="Arial"/>
        <w:spacing w:val="-1"/>
        <w:w w:val="100"/>
        <w:sz w:val="24"/>
        <w:szCs w:val="24"/>
      </w:rPr>
    </w:lvl>
    <w:lvl w:ilvl="2">
      <w:start w:val="1"/>
      <w:numFmt w:val="decimal"/>
      <w:lvlText w:val="%1.%2.%3."/>
      <w:lvlJc w:val="left"/>
      <w:pPr>
        <w:ind w:left="1600" w:hanging="845"/>
        <w:jc w:val="left"/>
      </w:pPr>
      <w:rPr>
        <w:rFonts w:hint="default" w:ascii="Arial" w:hAnsi="Arial" w:eastAsia="Arial" w:cs="Arial"/>
        <w:spacing w:val="-51"/>
        <w:w w:val="100"/>
        <w:sz w:val="24"/>
        <w:szCs w:val="24"/>
      </w:rPr>
    </w:lvl>
    <w:lvl w:ilvl="3">
      <w:start w:val="0"/>
      <w:numFmt w:val="bullet"/>
      <w:lvlText w:val="•"/>
      <w:lvlJc w:val="left"/>
      <w:pPr>
        <w:ind w:left="3613" w:hanging="845"/>
      </w:pPr>
      <w:rPr>
        <w:rFonts w:hint="default"/>
      </w:rPr>
    </w:lvl>
    <w:lvl w:ilvl="4">
      <w:start w:val="0"/>
      <w:numFmt w:val="bullet"/>
      <w:lvlText w:val="•"/>
      <w:lvlJc w:val="left"/>
      <w:pPr>
        <w:ind w:left="4620" w:hanging="845"/>
      </w:pPr>
      <w:rPr>
        <w:rFonts w:hint="default"/>
      </w:rPr>
    </w:lvl>
    <w:lvl w:ilvl="5">
      <w:start w:val="0"/>
      <w:numFmt w:val="bullet"/>
      <w:lvlText w:val="•"/>
      <w:lvlJc w:val="left"/>
      <w:pPr>
        <w:ind w:left="5626" w:hanging="845"/>
      </w:pPr>
      <w:rPr>
        <w:rFonts w:hint="default"/>
      </w:rPr>
    </w:lvl>
    <w:lvl w:ilvl="6">
      <w:start w:val="0"/>
      <w:numFmt w:val="bullet"/>
      <w:lvlText w:val="•"/>
      <w:lvlJc w:val="left"/>
      <w:pPr>
        <w:ind w:left="6633" w:hanging="845"/>
      </w:pPr>
      <w:rPr>
        <w:rFonts w:hint="default"/>
      </w:rPr>
    </w:lvl>
    <w:lvl w:ilvl="7">
      <w:start w:val="0"/>
      <w:numFmt w:val="bullet"/>
      <w:lvlText w:val="•"/>
      <w:lvlJc w:val="left"/>
      <w:pPr>
        <w:ind w:left="7640" w:hanging="845"/>
      </w:pPr>
      <w:rPr>
        <w:rFonts w:hint="default"/>
      </w:rPr>
    </w:lvl>
    <w:lvl w:ilvl="8">
      <w:start w:val="0"/>
      <w:numFmt w:val="bullet"/>
      <w:lvlText w:val="•"/>
      <w:lvlJc w:val="left"/>
      <w:pPr>
        <w:ind w:left="8646" w:hanging="845"/>
      </w:pPr>
      <w:rPr>
        <w:rFonts w:hint="default"/>
      </w:rPr>
    </w:lvl>
  </w:abstractNum>
  <w:abstractNum w:abstractNumId="24">
    <w:multiLevelType w:val="hybridMultilevel"/>
    <w:lvl w:ilvl="0">
      <w:start w:val="1"/>
      <w:numFmt w:val="decimal"/>
      <w:lvlText w:val="%1."/>
      <w:lvlJc w:val="left"/>
      <w:pPr>
        <w:ind w:left="820" w:hanging="540"/>
        <w:jc w:val="left"/>
      </w:pPr>
      <w:rPr>
        <w:rFonts w:hint="default" w:ascii="Arial" w:hAnsi="Arial" w:eastAsia="Arial" w:cs="Arial"/>
        <w:spacing w:val="-2"/>
        <w:w w:val="100"/>
        <w:sz w:val="24"/>
        <w:szCs w:val="24"/>
      </w:rPr>
    </w:lvl>
    <w:lvl w:ilvl="1">
      <w:start w:val="1"/>
      <w:numFmt w:val="decimal"/>
      <w:lvlText w:val="%1.%2."/>
      <w:lvlJc w:val="left"/>
      <w:pPr>
        <w:ind w:left="524" w:hanging="476"/>
        <w:jc w:val="left"/>
      </w:pPr>
      <w:rPr>
        <w:rFonts w:hint="default" w:ascii="Arial" w:hAnsi="Arial" w:eastAsia="Arial" w:cs="Arial"/>
        <w:spacing w:val="-1"/>
        <w:w w:val="100"/>
        <w:sz w:val="24"/>
        <w:szCs w:val="24"/>
      </w:rPr>
    </w:lvl>
    <w:lvl w:ilvl="2">
      <w:start w:val="0"/>
      <w:numFmt w:val="bullet"/>
      <w:lvlText w:val="•"/>
      <w:lvlJc w:val="left"/>
      <w:pPr>
        <w:ind w:left="1913" w:hanging="476"/>
      </w:pPr>
      <w:rPr>
        <w:rFonts w:hint="default"/>
      </w:rPr>
    </w:lvl>
    <w:lvl w:ilvl="3">
      <w:start w:val="0"/>
      <w:numFmt w:val="bullet"/>
      <w:lvlText w:val="•"/>
      <w:lvlJc w:val="left"/>
      <w:pPr>
        <w:ind w:left="3006" w:hanging="476"/>
      </w:pPr>
      <w:rPr>
        <w:rFonts w:hint="default"/>
      </w:rPr>
    </w:lvl>
    <w:lvl w:ilvl="4">
      <w:start w:val="0"/>
      <w:numFmt w:val="bullet"/>
      <w:lvlText w:val="•"/>
      <w:lvlJc w:val="left"/>
      <w:pPr>
        <w:ind w:left="4100" w:hanging="476"/>
      </w:pPr>
      <w:rPr>
        <w:rFonts w:hint="default"/>
      </w:rPr>
    </w:lvl>
    <w:lvl w:ilvl="5">
      <w:start w:val="0"/>
      <w:numFmt w:val="bullet"/>
      <w:lvlText w:val="•"/>
      <w:lvlJc w:val="left"/>
      <w:pPr>
        <w:ind w:left="5193" w:hanging="476"/>
      </w:pPr>
      <w:rPr>
        <w:rFonts w:hint="default"/>
      </w:rPr>
    </w:lvl>
    <w:lvl w:ilvl="6">
      <w:start w:val="0"/>
      <w:numFmt w:val="bullet"/>
      <w:lvlText w:val="•"/>
      <w:lvlJc w:val="left"/>
      <w:pPr>
        <w:ind w:left="6286" w:hanging="476"/>
      </w:pPr>
      <w:rPr>
        <w:rFonts w:hint="default"/>
      </w:rPr>
    </w:lvl>
    <w:lvl w:ilvl="7">
      <w:start w:val="0"/>
      <w:numFmt w:val="bullet"/>
      <w:lvlText w:val="•"/>
      <w:lvlJc w:val="left"/>
      <w:pPr>
        <w:ind w:left="7380" w:hanging="476"/>
      </w:pPr>
      <w:rPr>
        <w:rFonts w:hint="default"/>
      </w:rPr>
    </w:lvl>
    <w:lvl w:ilvl="8">
      <w:start w:val="0"/>
      <w:numFmt w:val="bullet"/>
      <w:lvlText w:val="•"/>
      <w:lvlJc w:val="left"/>
      <w:pPr>
        <w:ind w:left="8473" w:hanging="476"/>
      </w:pPr>
      <w:rPr>
        <w:rFonts w:hint="default"/>
      </w:rPr>
    </w:lvl>
  </w:abstractNum>
  <w:abstractNum w:abstractNumId="23">
    <w:multiLevelType w:val="hybridMultilevel"/>
    <w:lvl w:ilvl="0">
      <w:start w:val="3"/>
      <w:numFmt w:val="decimal"/>
      <w:lvlText w:val="%1"/>
      <w:lvlJc w:val="left"/>
      <w:pPr>
        <w:ind w:left="870" w:hanging="591"/>
        <w:jc w:val="left"/>
      </w:pPr>
      <w:rPr>
        <w:rFonts w:hint="default"/>
      </w:rPr>
    </w:lvl>
    <w:lvl w:ilvl="1">
      <w:start w:val="2"/>
      <w:numFmt w:val="decimal"/>
      <w:lvlText w:val="%1.%2."/>
      <w:lvlJc w:val="left"/>
      <w:pPr>
        <w:ind w:left="870" w:hanging="591"/>
        <w:jc w:val="left"/>
      </w:pPr>
      <w:rPr>
        <w:rFonts w:hint="default" w:ascii="Arial" w:hAnsi="Arial" w:eastAsia="Arial" w:cs="Arial"/>
        <w:spacing w:val="-11"/>
        <w:w w:val="100"/>
        <w:sz w:val="24"/>
        <w:szCs w:val="24"/>
      </w:rPr>
    </w:lvl>
    <w:lvl w:ilvl="2">
      <w:start w:val="1"/>
      <w:numFmt w:val="decimal"/>
      <w:lvlText w:val="%1.%2.%3."/>
      <w:lvlJc w:val="left"/>
      <w:pPr>
        <w:ind w:left="1100" w:hanging="821"/>
        <w:jc w:val="left"/>
      </w:pPr>
      <w:rPr>
        <w:rFonts w:hint="default" w:ascii="Arial" w:hAnsi="Arial" w:eastAsia="Arial" w:cs="Arial"/>
        <w:spacing w:val="-2"/>
        <w:w w:val="100"/>
        <w:sz w:val="24"/>
        <w:szCs w:val="24"/>
      </w:rPr>
    </w:lvl>
    <w:lvl w:ilvl="3">
      <w:start w:val="0"/>
      <w:numFmt w:val="bullet"/>
      <w:lvlText w:val="•"/>
      <w:lvlJc w:val="left"/>
      <w:pPr>
        <w:ind w:left="3224" w:hanging="821"/>
      </w:pPr>
      <w:rPr>
        <w:rFonts w:hint="default"/>
      </w:rPr>
    </w:lvl>
    <w:lvl w:ilvl="4">
      <w:start w:val="0"/>
      <w:numFmt w:val="bullet"/>
      <w:lvlText w:val="•"/>
      <w:lvlJc w:val="left"/>
      <w:pPr>
        <w:ind w:left="4286" w:hanging="821"/>
      </w:pPr>
      <w:rPr>
        <w:rFonts w:hint="default"/>
      </w:rPr>
    </w:lvl>
    <w:lvl w:ilvl="5">
      <w:start w:val="0"/>
      <w:numFmt w:val="bullet"/>
      <w:lvlText w:val="•"/>
      <w:lvlJc w:val="left"/>
      <w:pPr>
        <w:ind w:left="5348" w:hanging="821"/>
      </w:pPr>
      <w:rPr>
        <w:rFonts w:hint="default"/>
      </w:rPr>
    </w:lvl>
    <w:lvl w:ilvl="6">
      <w:start w:val="0"/>
      <w:numFmt w:val="bullet"/>
      <w:lvlText w:val="•"/>
      <w:lvlJc w:val="left"/>
      <w:pPr>
        <w:ind w:left="6411" w:hanging="821"/>
      </w:pPr>
      <w:rPr>
        <w:rFonts w:hint="default"/>
      </w:rPr>
    </w:lvl>
    <w:lvl w:ilvl="7">
      <w:start w:val="0"/>
      <w:numFmt w:val="bullet"/>
      <w:lvlText w:val="•"/>
      <w:lvlJc w:val="left"/>
      <w:pPr>
        <w:ind w:left="7473" w:hanging="821"/>
      </w:pPr>
      <w:rPr>
        <w:rFonts w:hint="default"/>
      </w:rPr>
    </w:lvl>
    <w:lvl w:ilvl="8">
      <w:start w:val="0"/>
      <w:numFmt w:val="bullet"/>
      <w:lvlText w:val="•"/>
      <w:lvlJc w:val="left"/>
      <w:pPr>
        <w:ind w:left="8535" w:hanging="821"/>
      </w:pPr>
      <w:rPr>
        <w:rFonts w:hint="default"/>
      </w:rPr>
    </w:lvl>
  </w:abstractNum>
  <w:abstractNum w:abstractNumId="22">
    <w:multiLevelType w:val="hybridMultilevel"/>
    <w:lvl w:ilvl="0">
      <w:start w:val="2"/>
      <w:numFmt w:val="decimal"/>
      <w:lvlText w:val="%1"/>
      <w:lvlJc w:val="left"/>
      <w:pPr>
        <w:ind w:left="1100" w:hanging="821"/>
        <w:jc w:val="left"/>
      </w:pPr>
      <w:rPr>
        <w:rFonts w:hint="default"/>
      </w:rPr>
    </w:lvl>
    <w:lvl w:ilvl="1">
      <w:start w:val="2"/>
      <w:numFmt w:val="decimal"/>
      <w:lvlText w:val="%1.%2"/>
      <w:lvlJc w:val="left"/>
      <w:pPr>
        <w:ind w:left="1100" w:hanging="821"/>
        <w:jc w:val="left"/>
      </w:pPr>
      <w:rPr>
        <w:rFonts w:hint="default"/>
      </w:rPr>
    </w:lvl>
    <w:lvl w:ilvl="2">
      <w:start w:val="4"/>
      <w:numFmt w:val="decimal"/>
      <w:lvlText w:val="%1.%2.%3."/>
      <w:lvlJc w:val="left"/>
      <w:pPr>
        <w:ind w:left="1100" w:hanging="821"/>
        <w:jc w:val="left"/>
      </w:pPr>
      <w:rPr>
        <w:rFonts w:hint="default" w:ascii="Arial" w:hAnsi="Arial" w:eastAsia="Arial" w:cs="Arial"/>
        <w:spacing w:val="-1"/>
        <w:w w:val="100"/>
        <w:sz w:val="24"/>
        <w:szCs w:val="24"/>
      </w:rPr>
    </w:lvl>
    <w:lvl w:ilvl="3">
      <w:start w:val="1"/>
      <w:numFmt w:val="decimal"/>
      <w:lvlText w:val="%1.%2.%3.%4."/>
      <w:lvlJc w:val="left"/>
      <w:pPr>
        <w:ind w:left="1360" w:hanging="1080"/>
        <w:jc w:val="left"/>
      </w:pPr>
      <w:rPr>
        <w:rFonts w:hint="default" w:ascii="Arial" w:hAnsi="Arial" w:eastAsia="Arial" w:cs="Arial"/>
        <w:spacing w:val="-1"/>
        <w:w w:val="100"/>
        <w:sz w:val="24"/>
        <w:szCs w:val="24"/>
      </w:rPr>
    </w:lvl>
    <w:lvl w:ilvl="4">
      <w:start w:val="1"/>
      <w:numFmt w:val="decimal"/>
      <w:lvlText w:val="%1.%2.%3.%4.%5."/>
      <w:lvlJc w:val="left"/>
      <w:pPr>
        <w:ind w:left="1576" w:hanging="1296"/>
        <w:jc w:val="left"/>
      </w:pPr>
      <w:rPr>
        <w:rFonts w:hint="default" w:ascii="Arial" w:hAnsi="Arial" w:eastAsia="Arial" w:cs="Arial"/>
        <w:spacing w:val="-1"/>
        <w:w w:val="100"/>
        <w:sz w:val="24"/>
        <w:szCs w:val="24"/>
      </w:rPr>
    </w:lvl>
    <w:lvl w:ilvl="5">
      <w:start w:val="0"/>
      <w:numFmt w:val="bullet"/>
      <w:lvlText w:val="•"/>
      <w:lvlJc w:val="left"/>
      <w:pPr>
        <w:ind w:left="4985" w:hanging="1296"/>
      </w:pPr>
      <w:rPr>
        <w:rFonts w:hint="default"/>
      </w:rPr>
    </w:lvl>
    <w:lvl w:ilvl="6">
      <w:start w:val="0"/>
      <w:numFmt w:val="bullet"/>
      <w:lvlText w:val="•"/>
      <w:lvlJc w:val="left"/>
      <w:pPr>
        <w:ind w:left="6120" w:hanging="1296"/>
      </w:pPr>
      <w:rPr>
        <w:rFonts w:hint="default"/>
      </w:rPr>
    </w:lvl>
    <w:lvl w:ilvl="7">
      <w:start w:val="0"/>
      <w:numFmt w:val="bullet"/>
      <w:lvlText w:val="•"/>
      <w:lvlJc w:val="left"/>
      <w:pPr>
        <w:ind w:left="7255" w:hanging="1296"/>
      </w:pPr>
      <w:rPr>
        <w:rFonts w:hint="default"/>
      </w:rPr>
    </w:lvl>
    <w:lvl w:ilvl="8">
      <w:start w:val="0"/>
      <w:numFmt w:val="bullet"/>
      <w:lvlText w:val="•"/>
      <w:lvlJc w:val="left"/>
      <w:pPr>
        <w:ind w:left="8390" w:hanging="1296"/>
      </w:pPr>
      <w:rPr>
        <w:rFonts w:hint="default"/>
      </w:rPr>
    </w:lvl>
  </w:abstractNum>
  <w:abstractNum w:abstractNumId="21">
    <w:multiLevelType w:val="hybridMultilevel"/>
    <w:lvl w:ilvl="0">
      <w:start w:val="2"/>
      <w:numFmt w:val="decimal"/>
      <w:lvlText w:val="%1"/>
      <w:lvlJc w:val="left"/>
      <w:pPr>
        <w:ind w:left="1100" w:hanging="821"/>
        <w:jc w:val="left"/>
      </w:pPr>
      <w:rPr>
        <w:rFonts w:hint="default"/>
      </w:rPr>
    </w:lvl>
    <w:lvl w:ilvl="1">
      <w:start w:val="2"/>
      <w:numFmt w:val="decimal"/>
      <w:lvlText w:val="%1.%2"/>
      <w:lvlJc w:val="left"/>
      <w:pPr>
        <w:ind w:left="1100" w:hanging="821"/>
        <w:jc w:val="left"/>
      </w:pPr>
      <w:rPr>
        <w:rFonts w:hint="default"/>
      </w:rPr>
    </w:lvl>
    <w:lvl w:ilvl="2">
      <w:start w:val="3"/>
      <w:numFmt w:val="decimal"/>
      <w:lvlText w:val="%1.%2.%3."/>
      <w:lvlJc w:val="left"/>
      <w:pPr>
        <w:ind w:left="1100" w:hanging="821"/>
        <w:jc w:val="left"/>
      </w:pPr>
      <w:rPr>
        <w:rFonts w:hint="default" w:ascii="Arial" w:hAnsi="Arial" w:eastAsia="Arial" w:cs="Arial"/>
        <w:spacing w:val="-2"/>
        <w:w w:val="100"/>
        <w:sz w:val="24"/>
        <w:szCs w:val="24"/>
      </w:rPr>
    </w:lvl>
    <w:lvl w:ilvl="3">
      <w:start w:val="1"/>
      <w:numFmt w:val="decimal"/>
      <w:lvlText w:val="%1.%2.%3.%4."/>
      <w:lvlJc w:val="left"/>
      <w:pPr>
        <w:ind w:left="1360" w:hanging="1080"/>
        <w:jc w:val="left"/>
      </w:pPr>
      <w:rPr>
        <w:rFonts w:hint="default" w:ascii="Arial" w:hAnsi="Arial" w:eastAsia="Arial" w:cs="Arial"/>
        <w:spacing w:val="-1"/>
        <w:w w:val="100"/>
        <w:sz w:val="24"/>
        <w:szCs w:val="24"/>
      </w:rPr>
    </w:lvl>
    <w:lvl w:ilvl="4">
      <w:start w:val="1"/>
      <w:numFmt w:val="decimal"/>
      <w:lvlText w:val="%1.%2.%3.%4.%5."/>
      <w:lvlJc w:val="left"/>
      <w:pPr>
        <w:ind w:left="1576" w:hanging="1295"/>
        <w:jc w:val="left"/>
      </w:pPr>
      <w:rPr>
        <w:rFonts w:hint="default" w:ascii="Arial" w:hAnsi="Arial" w:eastAsia="Arial" w:cs="Arial"/>
        <w:spacing w:val="-1"/>
        <w:w w:val="100"/>
        <w:sz w:val="24"/>
        <w:szCs w:val="24"/>
      </w:rPr>
    </w:lvl>
    <w:lvl w:ilvl="5">
      <w:start w:val="0"/>
      <w:numFmt w:val="bullet"/>
      <w:lvlText w:val="•"/>
      <w:lvlJc w:val="left"/>
      <w:pPr>
        <w:ind w:left="4985" w:hanging="1295"/>
      </w:pPr>
      <w:rPr>
        <w:rFonts w:hint="default"/>
      </w:rPr>
    </w:lvl>
    <w:lvl w:ilvl="6">
      <w:start w:val="0"/>
      <w:numFmt w:val="bullet"/>
      <w:lvlText w:val="•"/>
      <w:lvlJc w:val="left"/>
      <w:pPr>
        <w:ind w:left="6120" w:hanging="1295"/>
      </w:pPr>
      <w:rPr>
        <w:rFonts w:hint="default"/>
      </w:rPr>
    </w:lvl>
    <w:lvl w:ilvl="7">
      <w:start w:val="0"/>
      <w:numFmt w:val="bullet"/>
      <w:lvlText w:val="•"/>
      <w:lvlJc w:val="left"/>
      <w:pPr>
        <w:ind w:left="7255" w:hanging="1295"/>
      </w:pPr>
      <w:rPr>
        <w:rFonts w:hint="default"/>
      </w:rPr>
    </w:lvl>
    <w:lvl w:ilvl="8">
      <w:start w:val="0"/>
      <w:numFmt w:val="bullet"/>
      <w:lvlText w:val="•"/>
      <w:lvlJc w:val="left"/>
      <w:pPr>
        <w:ind w:left="8390" w:hanging="1295"/>
      </w:pPr>
      <w:rPr>
        <w:rFonts w:hint="default"/>
      </w:rPr>
    </w:lvl>
  </w:abstractNum>
  <w:abstractNum w:abstractNumId="20">
    <w:multiLevelType w:val="hybridMultilevel"/>
    <w:lvl w:ilvl="0">
      <w:start w:val="2"/>
      <w:numFmt w:val="decimal"/>
      <w:lvlText w:val="%1"/>
      <w:lvlJc w:val="left"/>
      <w:pPr>
        <w:ind w:left="1792" w:hanging="1511"/>
        <w:jc w:val="left"/>
      </w:pPr>
      <w:rPr>
        <w:rFonts w:hint="default"/>
      </w:rPr>
    </w:lvl>
    <w:lvl w:ilvl="1">
      <w:start w:val="2"/>
      <w:numFmt w:val="decimal"/>
      <w:lvlText w:val="%1.%2"/>
      <w:lvlJc w:val="left"/>
      <w:pPr>
        <w:ind w:left="1792" w:hanging="1511"/>
        <w:jc w:val="left"/>
      </w:pPr>
      <w:rPr>
        <w:rFonts w:hint="default"/>
      </w:rPr>
    </w:lvl>
    <w:lvl w:ilvl="2">
      <w:start w:val="1"/>
      <w:numFmt w:val="decimal"/>
      <w:lvlText w:val="%1.%2.%3"/>
      <w:lvlJc w:val="left"/>
      <w:pPr>
        <w:ind w:left="1792" w:hanging="1511"/>
        <w:jc w:val="left"/>
      </w:pPr>
      <w:rPr>
        <w:rFonts w:hint="default"/>
      </w:rPr>
    </w:lvl>
    <w:lvl w:ilvl="3">
      <w:start w:val="1"/>
      <w:numFmt w:val="decimal"/>
      <w:lvlText w:val="%1.%2.%3.%4"/>
      <w:lvlJc w:val="left"/>
      <w:pPr>
        <w:ind w:left="1792" w:hanging="1511"/>
        <w:jc w:val="left"/>
      </w:pPr>
      <w:rPr>
        <w:rFonts w:hint="default"/>
      </w:rPr>
    </w:lvl>
    <w:lvl w:ilvl="4">
      <w:start w:val="2"/>
      <w:numFmt w:val="decimal"/>
      <w:lvlText w:val="%1.%2.%3.%4.%5"/>
      <w:lvlJc w:val="left"/>
      <w:pPr>
        <w:ind w:left="1792" w:hanging="1511"/>
        <w:jc w:val="left"/>
      </w:pPr>
      <w:rPr>
        <w:rFonts w:hint="default"/>
      </w:rPr>
    </w:lvl>
    <w:lvl w:ilvl="5">
      <w:start w:val="5"/>
      <w:numFmt w:val="decimal"/>
      <w:lvlText w:val="%1.%2.%3.%4.%5.%6."/>
      <w:lvlJc w:val="left"/>
      <w:pPr>
        <w:ind w:left="1792" w:hanging="1511"/>
        <w:jc w:val="left"/>
      </w:pPr>
      <w:rPr>
        <w:rFonts w:hint="default" w:ascii="Arial" w:hAnsi="Arial" w:eastAsia="Arial" w:cs="Arial"/>
        <w:spacing w:val="-2"/>
        <w:w w:val="100"/>
        <w:sz w:val="24"/>
        <w:szCs w:val="24"/>
      </w:rPr>
    </w:lvl>
    <w:lvl w:ilvl="6">
      <w:start w:val="0"/>
      <w:numFmt w:val="bullet"/>
      <w:lvlText w:val="•"/>
      <w:lvlJc w:val="left"/>
      <w:pPr>
        <w:ind w:left="7116" w:hanging="1511"/>
      </w:pPr>
      <w:rPr>
        <w:rFonts w:hint="default"/>
      </w:rPr>
    </w:lvl>
    <w:lvl w:ilvl="7">
      <w:start w:val="0"/>
      <w:numFmt w:val="bullet"/>
      <w:lvlText w:val="•"/>
      <w:lvlJc w:val="left"/>
      <w:pPr>
        <w:ind w:left="8002" w:hanging="1511"/>
      </w:pPr>
      <w:rPr>
        <w:rFonts w:hint="default"/>
      </w:rPr>
    </w:lvl>
    <w:lvl w:ilvl="8">
      <w:start w:val="0"/>
      <w:numFmt w:val="bullet"/>
      <w:lvlText w:val="•"/>
      <w:lvlJc w:val="left"/>
      <w:pPr>
        <w:ind w:left="8888" w:hanging="1511"/>
      </w:pPr>
      <w:rPr>
        <w:rFonts w:hint="default"/>
      </w:rPr>
    </w:lvl>
  </w:abstractNum>
  <w:abstractNum w:abstractNumId="19">
    <w:multiLevelType w:val="hybridMultilevel"/>
    <w:lvl w:ilvl="0">
      <w:start w:val="1"/>
      <w:numFmt w:val="decimal"/>
      <w:lvlText w:val="%1."/>
      <w:lvlJc w:val="left"/>
      <w:pPr>
        <w:ind w:left="639" w:hanging="360"/>
        <w:jc w:val="left"/>
      </w:pPr>
      <w:rPr>
        <w:rFonts w:hint="default" w:ascii="Arial" w:hAnsi="Arial" w:eastAsia="Arial" w:cs="Arial"/>
        <w:b/>
        <w:bCs/>
        <w:w w:val="100"/>
        <w:sz w:val="24"/>
        <w:szCs w:val="24"/>
      </w:rPr>
    </w:lvl>
    <w:lvl w:ilvl="1">
      <w:start w:val="1"/>
      <w:numFmt w:val="decimal"/>
      <w:lvlText w:val="%1.%2."/>
      <w:lvlJc w:val="left"/>
      <w:pPr>
        <w:ind w:left="870" w:hanging="591"/>
        <w:jc w:val="left"/>
      </w:pPr>
      <w:rPr>
        <w:rFonts w:hint="default" w:ascii="Arial" w:hAnsi="Arial" w:eastAsia="Arial" w:cs="Arial"/>
        <w:spacing w:val="-11"/>
        <w:w w:val="100"/>
        <w:sz w:val="24"/>
        <w:szCs w:val="24"/>
      </w:rPr>
    </w:lvl>
    <w:lvl w:ilvl="2">
      <w:start w:val="1"/>
      <w:numFmt w:val="decimal"/>
      <w:lvlText w:val="%1.%2.%3."/>
      <w:lvlJc w:val="left"/>
      <w:pPr>
        <w:ind w:left="1100" w:hanging="821"/>
        <w:jc w:val="left"/>
      </w:pPr>
      <w:rPr>
        <w:rFonts w:hint="default" w:ascii="Arial" w:hAnsi="Arial" w:eastAsia="Arial" w:cs="Arial"/>
        <w:spacing w:val="-1"/>
        <w:w w:val="100"/>
        <w:sz w:val="24"/>
        <w:szCs w:val="24"/>
      </w:rPr>
    </w:lvl>
    <w:lvl w:ilvl="3">
      <w:start w:val="1"/>
      <w:numFmt w:val="decimal"/>
      <w:lvlText w:val="%1.%2.%3.%4."/>
      <w:lvlJc w:val="left"/>
      <w:pPr>
        <w:ind w:left="1360" w:hanging="1080"/>
        <w:jc w:val="left"/>
      </w:pPr>
      <w:rPr>
        <w:rFonts w:hint="default" w:ascii="Arial" w:hAnsi="Arial" w:eastAsia="Arial" w:cs="Arial"/>
        <w:spacing w:val="-2"/>
        <w:w w:val="100"/>
        <w:sz w:val="24"/>
        <w:szCs w:val="24"/>
      </w:rPr>
    </w:lvl>
    <w:lvl w:ilvl="4">
      <w:start w:val="1"/>
      <w:numFmt w:val="decimal"/>
      <w:lvlText w:val="%1.%2.%3.%4.%5."/>
      <w:lvlJc w:val="left"/>
      <w:pPr>
        <w:ind w:left="1574" w:hanging="1295"/>
        <w:jc w:val="left"/>
      </w:pPr>
      <w:rPr>
        <w:rFonts w:hint="default" w:ascii="Arial" w:hAnsi="Arial" w:eastAsia="Arial" w:cs="Arial"/>
        <w:spacing w:val="-1"/>
        <w:w w:val="100"/>
        <w:sz w:val="24"/>
        <w:szCs w:val="24"/>
      </w:rPr>
    </w:lvl>
    <w:lvl w:ilvl="5">
      <w:start w:val="1"/>
      <w:numFmt w:val="decimal"/>
      <w:lvlText w:val="%1.%2.%3.%4.%5.%6."/>
      <w:lvlJc w:val="left"/>
      <w:pPr>
        <w:ind w:left="1790" w:hanging="1511"/>
        <w:jc w:val="left"/>
      </w:pPr>
      <w:rPr>
        <w:rFonts w:hint="default" w:ascii="Arial" w:hAnsi="Arial" w:eastAsia="Arial" w:cs="Arial"/>
        <w:spacing w:val="-1"/>
        <w:w w:val="100"/>
        <w:sz w:val="24"/>
        <w:szCs w:val="24"/>
      </w:rPr>
    </w:lvl>
    <w:lvl w:ilvl="6">
      <w:start w:val="0"/>
      <w:numFmt w:val="bullet"/>
      <w:lvlText w:val="•"/>
      <w:lvlJc w:val="left"/>
      <w:pPr>
        <w:ind w:left="3572" w:hanging="1511"/>
      </w:pPr>
      <w:rPr>
        <w:rFonts w:hint="default"/>
      </w:rPr>
    </w:lvl>
    <w:lvl w:ilvl="7">
      <w:start w:val="0"/>
      <w:numFmt w:val="bullet"/>
      <w:lvlText w:val="•"/>
      <w:lvlJc w:val="left"/>
      <w:pPr>
        <w:ind w:left="5344" w:hanging="1511"/>
      </w:pPr>
      <w:rPr>
        <w:rFonts w:hint="default"/>
      </w:rPr>
    </w:lvl>
    <w:lvl w:ilvl="8">
      <w:start w:val="0"/>
      <w:numFmt w:val="bullet"/>
      <w:lvlText w:val="•"/>
      <w:lvlJc w:val="left"/>
      <w:pPr>
        <w:ind w:left="7116" w:hanging="1511"/>
      </w:pPr>
      <w:rPr>
        <w:rFonts w:hint="default"/>
      </w:rPr>
    </w:lvl>
  </w:abstractNum>
  <w:abstractNum w:abstractNumId="18">
    <w:multiLevelType w:val="hybridMultilevel"/>
    <w:lvl w:ilvl="0">
      <w:start w:val="5"/>
      <w:numFmt w:val="decimal"/>
      <w:lvlText w:val="%1."/>
      <w:lvlJc w:val="left"/>
      <w:pPr>
        <w:ind w:left="820" w:hanging="540"/>
        <w:jc w:val="left"/>
      </w:pPr>
      <w:rPr>
        <w:rFonts w:hint="default" w:ascii="Arial" w:hAnsi="Arial" w:eastAsia="Arial" w:cs="Arial"/>
        <w:spacing w:val="-2"/>
        <w:w w:val="100"/>
        <w:sz w:val="24"/>
        <w:szCs w:val="24"/>
      </w:rPr>
    </w:lvl>
    <w:lvl w:ilvl="1">
      <w:start w:val="1"/>
      <w:numFmt w:val="decimal"/>
      <w:lvlText w:val="%1.%2."/>
      <w:lvlJc w:val="left"/>
      <w:pPr>
        <w:ind w:left="524" w:hanging="476"/>
        <w:jc w:val="left"/>
      </w:pPr>
      <w:rPr>
        <w:rFonts w:hint="default" w:ascii="Arial" w:hAnsi="Arial" w:eastAsia="Arial" w:cs="Arial"/>
        <w:spacing w:val="-1"/>
        <w:w w:val="100"/>
        <w:sz w:val="24"/>
        <w:szCs w:val="24"/>
      </w:rPr>
    </w:lvl>
    <w:lvl w:ilvl="2">
      <w:start w:val="0"/>
      <w:numFmt w:val="bullet"/>
      <w:lvlText w:val="•"/>
      <w:lvlJc w:val="left"/>
      <w:pPr>
        <w:ind w:left="1913" w:hanging="476"/>
      </w:pPr>
      <w:rPr>
        <w:rFonts w:hint="default"/>
      </w:rPr>
    </w:lvl>
    <w:lvl w:ilvl="3">
      <w:start w:val="0"/>
      <w:numFmt w:val="bullet"/>
      <w:lvlText w:val="•"/>
      <w:lvlJc w:val="left"/>
      <w:pPr>
        <w:ind w:left="3006" w:hanging="476"/>
      </w:pPr>
      <w:rPr>
        <w:rFonts w:hint="default"/>
      </w:rPr>
    </w:lvl>
    <w:lvl w:ilvl="4">
      <w:start w:val="0"/>
      <w:numFmt w:val="bullet"/>
      <w:lvlText w:val="•"/>
      <w:lvlJc w:val="left"/>
      <w:pPr>
        <w:ind w:left="4100" w:hanging="476"/>
      </w:pPr>
      <w:rPr>
        <w:rFonts w:hint="default"/>
      </w:rPr>
    </w:lvl>
    <w:lvl w:ilvl="5">
      <w:start w:val="0"/>
      <w:numFmt w:val="bullet"/>
      <w:lvlText w:val="•"/>
      <w:lvlJc w:val="left"/>
      <w:pPr>
        <w:ind w:left="5193" w:hanging="476"/>
      </w:pPr>
      <w:rPr>
        <w:rFonts w:hint="default"/>
      </w:rPr>
    </w:lvl>
    <w:lvl w:ilvl="6">
      <w:start w:val="0"/>
      <w:numFmt w:val="bullet"/>
      <w:lvlText w:val="•"/>
      <w:lvlJc w:val="left"/>
      <w:pPr>
        <w:ind w:left="6286" w:hanging="476"/>
      </w:pPr>
      <w:rPr>
        <w:rFonts w:hint="default"/>
      </w:rPr>
    </w:lvl>
    <w:lvl w:ilvl="7">
      <w:start w:val="0"/>
      <w:numFmt w:val="bullet"/>
      <w:lvlText w:val="•"/>
      <w:lvlJc w:val="left"/>
      <w:pPr>
        <w:ind w:left="7380" w:hanging="476"/>
      </w:pPr>
      <w:rPr>
        <w:rFonts w:hint="default"/>
      </w:rPr>
    </w:lvl>
    <w:lvl w:ilvl="8">
      <w:start w:val="0"/>
      <w:numFmt w:val="bullet"/>
      <w:lvlText w:val="•"/>
      <w:lvlJc w:val="left"/>
      <w:pPr>
        <w:ind w:left="8473" w:hanging="476"/>
      </w:pPr>
      <w:rPr>
        <w:rFonts w:hint="default"/>
      </w:rPr>
    </w:lvl>
  </w:abstractNum>
  <w:abstractNum w:abstractNumId="17">
    <w:multiLevelType w:val="hybridMultilevel"/>
    <w:lvl w:ilvl="0">
      <w:start w:val="3"/>
      <w:numFmt w:val="decimal"/>
      <w:lvlText w:val="%1."/>
      <w:lvlJc w:val="left"/>
      <w:pPr>
        <w:ind w:left="820" w:hanging="540"/>
        <w:jc w:val="left"/>
      </w:pPr>
      <w:rPr>
        <w:rFonts w:hint="default" w:ascii="Arial" w:hAnsi="Arial" w:eastAsia="Arial" w:cs="Arial"/>
        <w:spacing w:val="-12"/>
        <w:w w:val="100"/>
        <w:sz w:val="24"/>
        <w:szCs w:val="24"/>
      </w:rPr>
    </w:lvl>
    <w:lvl w:ilvl="1">
      <w:start w:val="1"/>
      <w:numFmt w:val="decimal"/>
      <w:lvlText w:val="%1.%2."/>
      <w:lvlJc w:val="left"/>
      <w:pPr>
        <w:ind w:left="1000" w:hanging="476"/>
        <w:jc w:val="left"/>
      </w:pPr>
      <w:rPr>
        <w:rFonts w:hint="default" w:ascii="Arial" w:hAnsi="Arial" w:eastAsia="Arial" w:cs="Arial"/>
        <w:spacing w:val="-1"/>
        <w:w w:val="100"/>
        <w:sz w:val="24"/>
        <w:szCs w:val="24"/>
      </w:rPr>
    </w:lvl>
    <w:lvl w:ilvl="2">
      <w:start w:val="0"/>
      <w:numFmt w:val="bullet"/>
      <w:lvlText w:val="•"/>
      <w:lvlJc w:val="left"/>
      <w:pPr>
        <w:ind w:left="2073" w:hanging="476"/>
      </w:pPr>
      <w:rPr>
        <w:rFonts w:hint="default"/>
      </w:rPr>
    </w:lvl>
    <w:lvl w:ilvl="3">
      <w:start w:val="0"/>
      <w:numFmt w:val="bullet"/>
      <w:lvlText w:val="•"/>
      <w:lvlJc w:val="left"/>
      <w:pPr>
        <w:ind w:left="3146" w:hanging="476"/>
      </w:pPr>
      <w:rPr>
        <w:rFonts w:hint="default"/>
      </w:rPr>
    </w:lvl>
    <w:lvl w:ilvl="4">
      <w:start w:val="0"/>
      <w:numFmt w:val="bullet"/>
      <w:lvlText w:val="•"/>
      <w:lvlJc w:val="left"/>
      <w:pPr>
        <w:ind w:left="4220" w:hanging="476"/>
      </w:pPr>
      <w:rPr>
        <w:rFonts w:hint="default"/>
      </w:rPr>
    </w:lvl>
    <w:lvl w:ilvl="5">
      <w:start w:val="0"/>
      <w:numFmt w:val="bullet"/>
      <w:lvlText w:val="•"/>
      <w:lvlJc w:val="left"/>
      <w:pPr>
        <w:ind w:left="5293" w:hanging="476"/>
      </w:pPr>
      <w:rPr>
        <w:rFonts w:hint="default"/>
      </w:rPr>
    </w:lvl>
    <w:lvl w:ilvl="6">
      <w:start w:val="0"/>
      <w:numFmt w:val="bullet"/>
      <w:lvlText w:val="•"/>
      <w:lvlJc w:val="left"/>
      <w:pPr>
        <w:ind w:left="6366" w:hanging="476"/>
      </w:pPr>
      <w:rPr>
        <w:rFonts w:hint="default"/>
      </w:rPr>
    </w:lvl>
    <w:lvl w:ilvl="7">
      <w:start w:val="0"/>
      <w:numFmt w:val="bullet"/>
      <w:lvlText w:val="•"/>
      <w:lvlJc w:val="left"/>
      <w:pPr>
        <w:ind w:left="7440" w:hanging="476"/>
      </w:pPr>
      <w:rPr>
        <w:rFonts w:hint="default"/>
      </w:rPr>
    </w:lvl>
    <w:lvl w:ilvl="8">
      <w:start w:val="0"/>
      <w:numFmt w:val="bullet"/>
      <w:lvlText w:val="•"/>
      <w:lvlJc w:val="left"/>
      <w:pPr>
        <w:ind w:left="8513" w:hanging="476"/>
      </w:pPr>
      <w:rPr>
        <w:rFonts w:hint="default"/>
      </w:rPr>
    </w:lvl>
  </w:abstractNum>
  <w:abstractNum w:abstractNumId="16">
    <w:multiLevelType w:val="hybridMultilevel"/>
    <w:lvl w:ilvl="0">
      <w:start w:val="1"/>
      <w:numFmt w:val="decimal"/>
      <w:lvlText w:val="%1."/>
      <w:lvlJc w:val="left"/>
      <w:pPr>
        <w:ind w:left="820" w:hanging="540"/>
        <w:jc w:val="left"/>
      </w:pPr>
      <w:rPr>
        <w:rFonts w:hint="default" w:ascii="Arial" w:hAnsi="Arial" w:eastAsia="Arial" w:cs="Arial"/>
        <w:spacing w:val="-1"/>
        <w:w w:val="100"/>
        <w:sz w:val="24"/>
        <w:szCs w:val="24"/>
      </w:rPr>
    </w:lvl>
    <w:lvl w:ilvl="1">
      <w:start w:val="1"/>
      <w:numFmt w:val="decimal"/>
      <w:lvlText w:val="%1.%2."/>
      <w:lvlJc w:val="left"/>
      <w:pPr>
        <w:ind w:left="1000" w:hanging="476"/>
        <w:jc w:val="left"/>
      </w:pPr>
      <w:rPr>
        <w:rFonts w:hint="default" w:ascii="Arial" w:hAnsi="Arial" w:eastAsia="Arial" w:cs="Arial"/>
        <w:spacing w:val="-1"/>
        <w:w w:val="100"/>
        <w:sz w:val="24"/>
        <w:szCs w:val="24"/>
      </w:rPr>
    </w:lvl>
    <w:lvl w:ilvl="2">
      <w:start w:val="0"/>
      <w:numFmt w:val="bullet"/>
      <w:lvlText w:val="•"/>
      <w:lvlJc w:val="left"/>
      <w:pPr>
        <w:ind w:left="2073" w:hanging="476"/>
      </w:pPr>
      <w:rPr>
        <w:rFonts w:hint="default"/>
      </w:rPr>
    </w:lvl>
    <w:lvl w:ilvl="3">
      <w:start w:val="0"/>
      <w:numFmt w:val="bullet"/>
      <w:lvlText w:val="•"/>
      <w:lvlJc w:val="left"/>
      <w:pPr>
        <w:ind w:left="3146" w:hanging="476"/>
      </w:pPr>
      <w:rPr>
        <w:rFonts w:hint="default"/>
      </w:rPr>
    </w:lvl>
    <w:lvl w:ilvl="4">
      <w:start w:val="0"/>
      <w:numFmt w:val="bullet"/>
      <w:lvlText w:val="•"/>
      <w:lvlJc w:val="left"/>
      <w:pPr>
        <w:ind w:left="4220" w:hanging="476"/>
      </w:pPr>
      <w:rPr>
        <w:rFonts w:hint="default"/>
      </w:rPr>
    </w:lvl>
    <w:lvl w:ilvl="5">
      <w:start w:val="0"/>
      <w:numFmt w:val="bullet"/>
      <w:lvlText w:val="•"/>
      <w:lvlJc w:val="left"/>
      <w:pPr>
        <w:ind w:left="5293" w:hanging="476"/>
      </w:pPr>
      <w:rPr>
        <w:rFonts w:hint="default"/>
      </w:rPr>
    </w:lvl>
    <w:lvl w:ilvl="6">
      <w:start w:val="0"/>
      <w:numFmt w:val="bullet"/>
      <w:lvlText w:val="•"/>
      <w:lvlJc w:val="left"/>
      <w:pPr>
        <w:ind w:left="6366" w:hanging="476"/>
      </w:pPr>
      <w:rPr>
        <w:rFonts w:hint="default"/>
      </w:rPr>
    </w:lvl>
    <w:lvl w:ilvl="7">
      <w:start w:val="0"/>
      <w:numFmt w:val="bullet"/>
      <w:lvlText w:val="•"/>
      <w:lvlJc w:val="left"/>
      <w:pPr>
        <w:ind w:left="7440" w:hanging="476"/>
      </w:pPr>
      <w:rPr>
        <w:rFonts w:hint="default"/>
      </w:rPr>
    </w:lvl>
    <w:lvl w:ilvl="8">
      <w:start w:val="0"/>
      <w:numFmt w:val="bullet"/>
      <w:lvlText w:val="•"/>
      <w:lvlJc w:val="left"/>
      <w:pPr>
        <w:ind w:left="8513" w:hanging="476"/>
      </w:pPr>
      <w:rPr>
        <w:rFonts w:hint="default"/>
      </w:rPr>
    </w:lvl>
  </w:abstractNum>
  <w:abstractNum w:abstractNumId="15">
    <w:multiLevelType w:val="hybridMultilevel"/>
    <w:lvl w:ilvl="0">
      <w:start w:val="5"/>
      <w:numFmt w:val="decimal"/>
      <w:lvlText w:val="%1"/>
      <w:lvlJc w:val="left"/>
      <w:pPr>
        <w:ind w:left="870" w:hanging="591"/>
        <w:jc w:val="left"/>
      </w:pPr>
      <w:rPr>
        <w:rFonts w:hint="default"/>
      </w:rPr>
    </w:lvl>
    <w:lvl w:ilvl="1">
      <w:start w:val="3"/>
      <w:numFmt w:val="decimal"/>
      <w:lvlText w:val="%1.%2."/>
      <w:lvlJc w:val="left"/>
      <w:pPr>
        <w:ind w:left="870" w:hanging="591"/>
        <w:jc w:val="left"/>
      </w:pPr>
      <w:rPr>
        <w:rFonts w:hint="default" w:ascii="Arial" w:hAnsi="Arial" w:eastAsia="Arial" w:cs="Arial"/>
        <w:spacing w:val="-11"/>
        <w:w w:val="100"/>
        <w:sz w:val="24"/>
        <w:szCs w:val="24"/>
      </w:rPr>
    </w:lvl>
    <w:lvl w:ilvl="2">
      <w:start w:val="1"/>
      <w:numFmt w:val="decimal"/>
      <w:lvlText w:val="%1.%2.%3."/>
      <w:lvlJc w:val="left"/>
      <w:pPr>
        <w:ind w:left="1100" w:hanging="821"/>
        <w:jc w:val="left"/>
      </w:pPr>
      <w:rPr>
        <w:rFonts w:hint="default" w:ascii="Arial" w:hAnsi="Arial" w:eastAsia="Arial" w:cs="Arial"/>
        <w:spacing w:val="-1"/>
        <w:w w:val="100"/>
        <w:sz w:val="24"/>
        <w:szCs w:val="24"/>
      </w:rPr>
    </w:lvl>
    <w:lvl w:ilvl="3">
      <w:start w:val="1"/>
      <w:numFmt w:val="decimal"/>
      <w:lvlText w:val="%1.%2.%3.%4."/>
      <w:lvlJc w:val="left"/>
      <w:pPr>
        <w:ind w:left="1360" w:hanging="1079"/>
        <w:jc w:val="left"/>
      </w:pPr>
      <w:rPr>
        <w:rFonts w:hint="default" w:ascii="Arial" w:hAnsi="Arial" w:eastAsia="Arial" w:cs="Arial"/>
        <w:spacing w:val="-2"/>
        <w:w w:val="100"/>
        <w:sz w:val="24"/>
        <w:szCs w:val="24"/>
      </w:rPr>
    </w:lvl>
    <w:lvl w:ilvl="4">
      <w:start w:val="0"/>
      <w:numFmt w:val="bullet"/>
      <w:lvlText w:val="•"/>
      <w:lvlJc w:val="left"/>
      <w:pPr>
        <w:ind w:left="3685" w:hanging="1079"/>
      </w:pPr>
      <w:rPr>
        <w:rFonts w:hint="default"/>
      </w:rPr>
    </w:lvl>
    <w:lvl w:ilvl="5">
      <w:start w:val="0"/>
      <w:numFmt w:val="bullet"/>
      <w:lvlText w:val="•"/>
      <w:lvlJc w:val="left"/>
      <w:pPr>
        <w:ind w:left="4847" w:hanging="1079"/>
      </w:pPr>
      <w:rPr>
        <w:rFonts w:hint="default"/>
      </w:rPr>
    </w:lvl>
    <w:lvl w:ilvl="6">
      <w:start w:val="0"/>
      <w:numFmt w:val="bullet"/>
      <w:lvlText w:val="•"/>
      <w:lvlJc w:val="left"/>
      <w:pPr>
        <w:ind w:left="6010" w:hanging="1079"/>
      </w:pPr>
      <w:rPr>
        <w:rFonts w:hint="default"/>
      </w:rPr>
    </w:lvl>
    <w:lvl w:ilvl="7">
      <w:start w:val="0"/>
      <w:numFmt w:val="bullet"/>
      <w:lvlText w:val="•"/>
      <w:lvlJc w:val="left"/>
      <w:pPr>
        <w:ind w:left="7172" w:hanging="1079"/>
      </w:pPr>
      <w:rPr>
        <w:rFonts w:hint="default"/>
      </w:rPr>
    </w:lvl>
    <w:lvl w:ilvl="8">
      <w:start w:val="0"/>
      <w:numFmt w:val="bullet"/>
      <w:lvlText w:val="•"/>
      <w:lvlJc w:val="left"/>
      <w:pPr>
        <w:ind w:left="8335" w:hanging="1079"/>
      </w:pPr>
      <w:rPr>
        <w:rFonts w:hint="default"/>
      </w:rPr>
    </w:lvl>
  </w:abstractNum>
  <w:abstractNum w:abstractNumId="14">
    <w:multiLevelType w:val="hybridMultilevel"/>
    <w:lvl w:ilvl="0">
      <w:start w:val="1"/>
      <w:numFmt w:val="decimal"/>
      <w:lvlText w:val="%1."/>
      <w:lvlJc w:val="left"/>
      <w:pPr>
        <w:ind w:left="640" w:hanging="360"/>
        <w:jc w:val="left"/>
      </w:pPr>
      <w:rPr>
        <w:rFonts w:hint="default" w:ascii="Arial" w:hAnsi="Arial" w:eastAsia="Arial" w:cs="Arial"/>
        <w:b/>
        <w:bCs/>
        <w:spacing w:val="-2"/>
        <w:w w:val="100"/>
        <w:sz w:val="24"/>
        <w:szCs w:val="24"/>
      </w:rPr>
    </w:lvl>
    <w:lvl w:ilvl="1">
      <w:start w:val="1"/>
      <w:numFmt w:val="decimal"/>
      <w:lvlText w:val="%1.%2."/>
      <w:lvlJc w:val="left"/>
      <w:pPr>
        <w:ind w:left="870" w:hanging="591"/>
        <w:jc w:val="left"/>
      </w:pPr>
      <w:rPr>
        <w:rFonts w:hint="default" w:ascii="Arial" w:hAnsi="Arial" w:eastAsia="Arial" w:cs="Arial"/>
        <w:spacing w:val="-11"/>
        <w:w w:val="100"/>
        <w:sz w:val="24"/>
        <w:szCs w:val="24"/>
      </w:rPr>
    </w:lvl>
    <w:lvl w:ilvl="2">
      <w:start w:val="1"/>
      <w:numFmt w:val="decimal"/>
      <w:lvlText w:val="%1.%2.%3."/>
      <w:lvlJc w:val="left"/>
      <w:pPr>
        <w:ind w:left="1100" w:hanging="821"/>
        <w:jc w:val="left"/>
      </w:pPr>
      <w:rPr>
        <w:rFonts w:hint="default" w:ascii="Arial" w:hAnsi="Arial" w:eastAsia="Arial" w:cs="Arial"/>
        <w:spacing w:val="-3"/>
        <w:w w:val="100"/>
        <w:sz w:val="24"/>
        <w:szCs w:val="24"/>
      </w:rPr>
    </w:lvl>
    <w:lvl w:ilvl="3">
      <w:start w:val="1"/>
      <w:numFmt w:val="decimal"/>
      <w:lvlText w:val="%1.%2.%3.%4."/>
      <w:lvlJc w:val="left"/>
      <w:pPr>
        <w:ind w:left="1360" w:hanging="1080"/>
        <w:jc w:val="left"/>
      </w:pPr>
      <w:rPr>
        <w:rFonts w:hint="default" w:ascii="Arial" w:hAnsi="Arial" w:eastAsia="Arial" w:cs="Arial"/>
        <w:spacing w:val="-1"/>
        <w:w w:val="100"/>
        <w:sz w:val="24"/>
        <w:szCs w:val="24"/>
      </w:rPr>
    </w:lvl>
    <w:lvl w:ilvl="4">
      <w:start w:val="0"/>
      <w:numFmt w:val="bullet"/>
      <w:lvlText w:val="•"/>
      <w:lvlJc w:val="left"/>
      <w:pPr>
        <w:ind w:left="2688" w:hanging="1080"/>
      </w:pPr>
      <w:rPr>
        <w:rFonts w:hint="default"/>
      </w:rPr>
    </w:lvl>
    <w:lvl w:ilvl="5">
      <w:start w:val="0"/>
      <w:numFmt w:val="bullet"/>
      <w:lvlText w:val="•"/>
      <w:lvlJc w:val="left"/>
      <w:pPr>
        <w:ind w:left="4017" w:hanging="1080"/>
      </w:pPr>
      <w:rPr>
        <w:rFonts w:hint="default"/>
      </w:rPr>
    </w:lvl>
    <w:lvl w:ilvl="6">
      <w:start w:val="0"/>
      <w:numFmt w:val="bullet"/>
      <w:lvlText w:val="•"/>
      <w:lvlJc w:val="left"/>
      <w:pPr>
        <w:ind w:left="5345" w:hanging="1080"/>
      </w:pPr>
      <w:rPr>
        <w:rFonts w:hint="default"/>
      </w:rPr>
    </w:lvl>
    <w:lvl w:ilvl="7">
      <w:start w:val="0"/>
      <w:numFmt w:val="bullet"/>
      <w:lvlText w:val="•"/>
      <w:lvlJc w:val="left"/>
      <w:pPr>
        <w:ind w:left="6674" w:hanging="1080"/>
      </w:pPr>
      <w:rPr>
        <w:rFonts w:hint="default"/>
      </w:rPr>
    </w:lvl>
    <w:lvl w:ilvl="8">
      <w:start w:val="0"/>
      <w:numFmt w:val="bullet"/>
      <w:lvlText w:val="•"/>
      <w:lvlJc w:val="left"/>
      <w:pPr>
        <w:ind w:left="8002" w:hanging="1080"/>
      </w:pPr>
      <w:rPr>
        <w:rFonts w:hint="default"/>
      </w:rPr>
    </w:lvl>
  </w:abstractNum>
  <w:abstractNum w:abstractNumId="13">
    <w:multiLevelType w:val="hybridMultilevel"/>
    <w:lvl w:ilvl="0">
      <w:start w:val="1"/>
      <w:numFmt w:val="decimal"/>
      <w:lvlText w:val="%1."/>
      <w:lvlJc w:val="left"/>
      <w:pPr>
        <w:ind w:left="707" w:hanging="428"/>
        <w:jc w:val="left"/>
      </w:pPr>
      <w:rPr>
        <w:rFonts w:hint="default" w:ascii="Arial" w:hAnsi="Arial" w:eastAsia="Arial" w:cs="Arial"/>
        <w:b/>
        <w:bCs/>
        <w:w w:val="100"/>
        <w:sz w:val="24"/>
        <w:szCs w:val="24"/>
      </w:rPr>
    </w:lvl>
    <w:lvl w:ilvl="1">
      <w:start w:val="0"/>
      <w:numFmt w:val="bullet"/>
      <w:lvlText w:val="•"/>
      <w:lvlJc w:val="left"/>
      <w:pPr>
        <w:ind w:left="1696" w:hanging="428"/>
      </w:pPr>
      <w:rPr>
        <w:rFonts w:hint="default"/>
      </w:rPr>
    </w:lvl>
    <w:lvl w:ilvl="2">
      <w:start w:val="0"/>
      <w:numFmt w:val="bullet"/>
      <w:lvlText w:val="•"/>
      <w:lvlJc w:val="left"/>
      <w:pPr>
        <w:ind w:left="2692" w:hanging="428"/>
      </w:pPr>
      <w:rPr>
        <w:rFonts w:hint="default"/>
      </w:rPr>
    </w:lvl>
    <w:lvl w:ilvl="3">
      <w:start w:val="0"/>
      <w:numFmt w:val="bullet"/>
      <w:lvlText w:val="•"/>
      <w:lvlJc w:val="left"/>
      <w:pPr>
        <w:ind w:left="3688" w:hanging="428"/>
      </w:pPr>
      <w:rPr>
        <w:rFonts w:hint="default"/>
      </w:rPr>
    </w:lvl>
    <w:lvl w:ilvl="4">
      <w:start w:val="0"/>
      <w:numFmt w:val="bullet"/>
      <w:lvlText w:val="•"/>
      <w:lvlJc w:val="left"/>
      <w:pPr>
        <w:ind w:left="4684" w:hanging="428"/>
      </w:pPr>
      <w:rPr>
        <w:rFonts w:hint="default"/>
      </w:rPr>
    </w:lvl>
    <w:lvl w:ilvl="5">
      <w:start w:val="0"/>
      <w:numFmt w:val="bullet"/>
      <w:lvlText w:val="•"/>
      <w:lvlJc w:val="left"/>
      <w:pPr>
        <w:ind w:left="5680" w:hanging="428"/>
      </w:pPr>
      <w:rPr>
        <w:rFonts w:hint="default"/>
      </w:rPr>
    </w:lvl>
    <w:lvl w:ilvl="6">
      <w:start w:val="0"/>
      <w:numFmt w:val="bullet"/>
      <w:lvlText w:val="•"/>
      <w:lvlJc w:val="left"/>
      <w:pPr>
        <w:ind w:left="6676" w:hanging="428"/>
      </w:pPr>
      <w:rPr>
        <w:rFonts w:hint="default"/>
      </w:rPr>
    </w:lvl>
    <w:lvl w:ilvl="7">
      <w:start w:val="0"/>
      <w:numFmt w:val="bullet"/>
      <w:lvlText w:val="•"/>
      <w:lvlJc w:val="left"/>
      <w:pPr>
        <w:ind w:left="7672" w:hanging="428"/>
      </w:pPr>
      <w:rPr>
        <w:rFonts w:hint="default"/>
      </w:rPr>
    </w:lvl>
    <w:lvl w:ilvl="8">
      <w:start w:val="0"/>
      <w:numFmt w:val="bullet"/>
      <w:lvlText w:val="•"/>
      <w:lvlJc w:val="left"/>
      <w:pPr>
        <w:ind w:left="8668" w:hanging="428"/>
      </w:pPr>
      <w:rPr>
        <w:rFonts w:hint="default"/>
      </w:rPr>
    </w:lvl>
  </w:abstractNum>
  <w:abstractNum w:abstractNumId="12">
    <w:multiLevelType w:val="hybridMultilevel"/>
    <w:lvl w:ilvl="0">
      <w:start w:val="10"/>
      <w:numFmt w:val="decimal"/>
      <w:lvlText w:val="%1"/>
      <w:lvlJc w:val="left"/>
      <w:pPr>
        <w:ind w:left="870" w:hanging="591"/>
        <w:jc w:val="left"/>
      </w:pPr>
      <w:rPr>
        <w:rFonts w:hint="default"/>
      </w:rPr>
    </w:lvl>
    <w:lvl w:ilvl="1">
      <w:start w:val="2"/>
      <w:numFmt w:val="decimal"/>
      <w:lvlText w:val="%1.%2."/>
      <w:lvlJc w:val="left"/>
      <w:pPr>
        <w:ind w:left="870" w:hanging="591"/>
        <w:jc w:val="left"/>
      </w:pPr>
      <w:rPr>
        <w:rFonts w:hint="default" w:ascii="Arial" w:hAnsi="Arial" w:eastAsia="Arial" w:cs="Arial"/>
        <w:spacing w:val="-1"/>
        <w:w w:val="100"/>
        <w:sz w:val="24"/>
        <w:szCs w:val="24"/>
      </w:rPr>
    </w:lvl>
    <w:lvl w:ilvl="2">
      <w:start w:val="1"/>
      <w:numFmt w:val="decimal"/>
      <w:lvlText w:val="%1.%2.%3."/>
      <w:lvlJc w:val="left"/>
      <w:pPr>
        <w:ind w:left="1100" w:hanging="820"/>
        <w:jc w:val="left"/>
      </w:pPr>
      <w:rPr>
        <w:rFonts w:hint="default" w:ascii="Arial" w:hAnsi="Arial" w:eastAsia="Arial" w:cs="Arial"/>
        <w:spacing w:val="-1"/>
        <w:w w:val="100"/>
        <w:sz w:val="24"/>
        <w:szCs w:val="24"/>
      </w:rPr>
    </w:lvl>
    <w:lvl w:ilvl="3">
      <w:start w:val="0"/>
      <w:numFmt w:val="bullet"/>
      <w:lvlText w:val="•"/>
      <w:lvlJc w:val="left"/>
      <w:pPr>
        <w:ind w:left="3224" w:hanging="820"/>
      </w:pPr>
      <w:rPr>
        <w:rFonts w:hint="default"/>
      </w:rPr>
    </w:lvl>
    <w:lvl w:ilvl="4">
      <w:start w:val="0"/>
      <w:numFmt w:val="bullet"/>
      <w:lvlText w:val="•"/>
      <w:lvlJc w:val="left"/>
      <w:pPr>
        <w:ind w:left="4286" w:hanging="820"/>
      </w:pPr>
      <w:rPr>
        <w:rFonts w:hint="default"/>
      </w:rPr>
    </w:lvl>
    <w:lvl w:ilvl="5">
      <w:start w:val="0"/>
      <w:numFmt w:val="bullet"/>
      <w:lvlText w:val="•"/>
      <w:lvlJc w:val="left"/>
      <w:pPr>
        <w:ind w:left="5348" w:hanging="820"/>
      </w:pPr>
      <w:rPr>
        <w:rFonts w:hint="default"/>
      </w:rPr>
    </w:lvl>
    <w:lvl w:ilvl="6">
      <w:start w:val="0"/>
      <w:numFmt w:val="bullet"/>
      <w:lvlText w:val="•"/>
      <w:lvlJc w:val="left"/>
      <w:pPr>
        <w:ind w:left="6411" w:hanging="820"/>
      </w:pPr>
      <w:rPr>
        <w:rFonts w:hint="default"/>
      </w:rPr>
    </w:lvl>
    <w:lvl w:ilvl="7">
      <w:start w:val="0"/>
      <w:numFmt w:val="bullet"/>
      <w:lvlText w:val="•"/>
      <w:lvlJc w:val="left"/>
      <w:pPr>
        <w:ind w:left="7473" w:hanging="820"/>
      </w:pPr>
      <w:rPr>
        <w:rFonts w:hint="default"/>
      </w:rPr>
    </w:lvl>
    <w:lvl w:ilvl="8">
      <w:start w:val="0"/>
      <w:numFmt w:val="bullet"/>
      <w:lvlText w:val="•"/>
      <w:lvlJc w:val="left"/>
      <w:pPr>
        <w:ind w:left="8535" w:hanging="820"/>
      </w:pPr>
      <w:rPr>
        <w:rFonts w:hint="default"/>
      </w:rPr>
    </w:lvl>
  </w:abstractNum>
  <w:abstractNum w:abstractNumId="11">
    <w:multiLevelType w:val="hybridMultilevel"/>
    <w:lvl w:ilvl="0">
      <w:start w:val="9"/>
      <w:numFmt w:val="decimal"/>
      <w:lvlText w:val="%1"/>
      <w:lvlJc w:val="left"/>
      <w:pPr>
        <w:ind w:left="1100" w:hanging="821"/>
        <w:jc w:val="left"/>
      </w:pPr>
      <w:rPr>
        <w:rFonts w:hint="default"/>
      </w:rPr>
    </w:lvl>
    <w:lvl w:ilvl="1">
      <w:start w:val="3"/>
      <w:numFmt w:val="decimal"/>
      <w:lvlText w:val="%1.%2"/>
      <w:lvlJc w:val="left"/>
      <w:pPr>
        <w:ind w:left="1100" w:hanging="821"/>
        <w:jc w:val="left"/>
      </w:pPr>
      <w:rPr>
        <w:rFonts w:hint="default"/>
      </w:rPr>
    </w:lvl>
    <w:lvl w:ilvl="2">
      <w:start w:val="2"/>
      <w:numFmt w:val="decimal"/>
      <w:lvlText w:val="%1.%2.%3."/>
      <w:lvlJc w:val="left"/>
      <w:pPr>
        <w:ind w:left="1100" w:hanging="821"/>
        <w:jc w:val="left"/>
      </w:pPr>
      <w:rPr>
        <w:rFonts w:hint="default" w:ascii="Arial" w:hAnsi="Arial" w:eastAsia="Arial" w:cs="Arial"/>
        <w:spacing w:val="-1"/>
        <w:w w:val="100"/>
        <w:sz w:val="24"/>
        <w:szCs w:val="24"/>
      </w:rPr>
    </w:lvl>
    <w:lvl w:ilvl="3">
      <w:start w:val="1"/>
      <w:numFmt w:val="decimal"/>
      <w:lvlText w:val="%1.%2.%3.%4."/>
      <w:lvlJc w:val="left"/>
      <w:pPr>
        <w:ind w:left="1359" w:hanging="1080"/>
        <w:jc w:val="left"/>
      </w:pPr>
      <w:rPr>
        <w:rFonts w:hint="default" w:ascii="Arial" w:hAnsi="Arial" w:eastAsia="Arial" w:cs="Arial"/>
        <w:spacing w:val="-2"/>
        <w:w w:val="100"/>
        <w:sz w:val="24"/>
        <w:szCs w:val="24"/>
      </w:rPr>
    </w:lvl>
    <w:lvl w:ilvl="4">
      <w:start w:val="1"/>
      <w:numFmt w:val="decimal"/>
      <w:lvlText w:val="%1.%2.%3.%4.%5."/>
      <w:lvlJc w:val="left"/>
      <w:pPr>
        <w:ind w:left="1575" w:hanging="1296"/>
        <w:jc w:val="left"/>
      </w:pPr>
      <w:rPr>
        <w:rFonts w:hint="default" w:ascii="Arial" w:hAnsi="Arial" w:eastAsia="Arial" w:cs="Arial"/>
        <w:spacing w:val="-1"/>
        <w:w w:val="100"/>
        <w:sz w:val="24"/>
        <w:szCs w:val="24"/>
      </w:rPr>
    </w:lvl>
    <w:lvl w:ilvl="5">
      <w:start w:val="0"/>
      <w:numFmt w:val="bullet"/>
      <w:lvlText w:val="•"/>
      <w:lvlJc w:val="left"/>
      <w:pPr>
        <w:ind w:left="4985" w:hanging="1296"/>
      </w:pPr>
      <w:rPr>
        <w:rFonts w:hint="default"/>
      </w:rPr>
    </w:lvl>
    <w:lvl w:ilvl="6">
      <w:start w:val="0"/>
      <w:numFmt w:val="bullet"/>
      <w:lvlText w:val="•"/>
      <w:lvlJc w:val="left"/>
      <w:pPr>
        <w:ind w:left="6120" w:hanging="1296"/>
      </w:pPr>
      <w:rPr>
        <w:rFonts w:hint="default"/>
      </w:rPr>
    </w:lvl>
    <w:lvl w:ilvl="7">
      <w:start w:val="0"/>
      <w:numFmt w:val="bullet"/>
      <w:lvlText w:val="•"/>
      <w:lvlJc w:val="left"/>
      <w:pPr>
        <w:ind w:left="7255" w:hanging="1296"/>
      </w:pPr>
      <w:rPr>
        <w:rFonts w:hint="default"/>
      </w:rPr>
    </w:lvl>
    <w:lvl w:ilvl="8">
      <w:start w:val="0"/>
      <w:numFmt w:val="bullet"/>
      <w:lvlText w:val="•"/>
      <w:lvlJc w:val="left"/>
      <w:pPr>
        <w:ind w:left="8390" w:hanging="1296"/>
      </w:pPr>
      <w:rPr>
        <w:rFonts w:hint="default"/>
      </w:rPr>
    </w:lvl>
  </w:abstractNum>
  <w:abstractNum w:abstractNumId="10">
    <w:multiLevelType w:val="hybridMultilevel"/>
    <w:lvl w:ilvl="0">
      <w:start w:val="9"/>
      <w:numFmt w:val="decimal"/>
      <w:lvlText w:val="%1"/>
      <w:lvlJc w:val="left"/>
      <w:pPr>
        <w:ind w:left="1792" w:hanging="1511"/>
        <w:jc w:val="left"/>
      </w:pPr>
      <w:rPr>
        <w:rFonts w:hint="default"/>
      </w:rPr>
    </w:lvl>
    <w:lvl w:ilvl="1">
      <w:start w:val="3"/>
      <w:numFmt w:val="decimal"/>
      <w:lvlText w:val="%1.%2"/>
      <w:lvlJc w:val="left"/>
      <w:pPr>
        <w:ind w:left="1792" w:hanging="1511"/>
        <w:jc w:val="left"/>
      </w:pPr>
      <w:rPr>
        <w:rFonts w:hint="default"/>
      </w:rPr>
    </w:lvl>
    <w:lvl w:ilvl="2">
      <w:start w:val="1"/>
      <w:numFmt w:val="decimal"/>
      <w:lvlText w:val="%1.%2.%3"/>
      <w:lvlJc w:val="left"/>
      <w:pPr>
        <w:ind w:left="1792" w:hanging="1511"/>
        <w:jc w:val="left"/>
      </w:pPr>
      <w:rPr>
        <w:rFonts w:hint="default"/>
      </w:rPr>
    </w:lvl>
    <w:lvl w:ilvl="3">
      <w:start w:val="1"/>
      <w:numFmt w:val="decimal"/>
      <w:lvlText w:val="%1.%2.%3.%4"/>
      <w:lvlJc w:val="left"/>
      <w:pPr>
        <w:ind w:left="1792" w:hanging="1511"/>
        <w:jc w:val="left"/>
      </w:pPr>
      <w:rPr>
        <w:rFonts w:hint="default"/>
      </w:rPr>
    </w:lvl>
    <w:lvl w:ilvl="4">
      <w:start w:val="2"/>
      <w:numFmt w:val="decimal"/>
      <w:lvlText w:val="%1.%2.%3.%4.%5"/>
      <w:lvlJc w:val="left"/>
      <w:pPr>
        <w:ind w:left="1792" w:hanging="1511"/>
        <w:jc w:val="left"/>
      </w:pPr>
      <w:rPr>
        <w:rFonts w:hint="default"/>
      </w:rPr>
    </w:lvl>
    <w:lvl w:ilvl="5">
      <w:start w:val="5"/>
      <w:numFmt w:val="decimal"/>
      <w:lvlText w:val="%1.%2.%3.%4.%5.%6."/>
      <w:lvlJc w:val="left"/>
      <w:pPr>
        <w:ind w:left="1792" w:hanging="1511"/>
        <w:jc w:val="left"/>
      </w:pPr>
      <w:rPr>
        <w:rFonts w:hint="default" w:ascii="Arial" w:hAnsi="Arial" w:eastAsia="Arial" w:cs="Arial"/>
        <w:spacing w:val="-2"/>
        <w:w w:val="100"/>
        <w:sz w:val="24"/>
        <w:szCs w:val="24"/>
      </w:rPr>
    </w:lvl>
    <w:lvl w:ilvl="6">
      <w:start w:val="0"/>
      <w:numFmt w:val="bullet"/>
      <w:lvlText w:val="•"/>
      <w:lvlJc w:val="left"/>
      <w:pPr>
        <w:ind w:left="7116" w:hanging="1511"/>
      </w:pPr>
      <w:rPr>
        <w:rFonts w:hint="default"/>
      </w:rPr>
    </w:lvl>
    <w:lvl w:ilvl="7">
      <w:start w:val="0"/>
      <w:numFmt w:val="bullet"/>
      <w:lvlText w:val="•"/>
      <w:lvlJc w:val="left"/>
      <w:pPr>
        <w:ind w:left="8002" w:hanging="1511"/>
      </w:pPr>
      <w:rPr>
        <w:rFonts w:hint="default"/>
      </w:rPr>
    </w:lvl>
    <w:lvl w:ilvl="8">
      <w:start w:val="0"/>
      <w:numFmt w:val="bullet"/>
      <w:lvlText w:val="•"/>
      <w:lvlJc w:val="left"/>
      <w:pPr>
        <w:ind w:left="8888" w:hanging="1511"/>
      </w:pPr>
      <w:rPr>
        <w:rFonts w:hint="default"/>
      </w:rPr>
    </w:lvl>
  </w:abstractNum>
  <w:abstractNum w:abstractNumId="9">
    <w:multiLevelType w:val="hybridMultilevel"/>
    <w:lvl w:ilvl="0">
      <w:start w:val="9"/>
      <w:numFmt w:val="decimal"/>
      <w:lvlText w:val="%1"/>
      <w:lvlJc w:val="left"/>
      <w:pPr>
        <w:ind w:left="870" w:hanging="591"/>
        <w:jc w:val="left"/>
      </w:pPr>
      <w:rPr>
        <w:rFonts w:hint="default"/>
      </w:rPr>
    </w:lvl>
    <w:lvl w:ilvl="1">
      <w:start w:val="3"/>
      <w:numFmt w:val="decimal"/>
      <w:lvlText w:val="%1.%2."/>
      <w:lvlJc w:val="left"/>
      <w:pPr>
        <w:ind w:left="870" w:hanging="591"/>
        <w:jc w:val="left"/>
      </w:pPr>
      <w:rPr>
        <w:rFonts w:hint="default" w:ascii="Arial" w:hAnsi="Arial" w:eastAsia="Arial" w:cs="Arial"/>
        <w:spacing w:val="-11"/>
        <w:w w:val="100"/>
        <w:sz w:val="24"/>
        <w:szCs w:val="24"/>
      </w:rPr>
    </w:lvl>
    <w:lvl w:ilvl="2">
      <w:start w:val="1"/>
      <w:numFmt w:val="decimal"/>
      <w:lvlText w:val="%1.%2.%3."/>
      <w:lvlJc w:val="left"/>
      <w:pPr>
        <w:ind w:left="1100" w:hanging="821"/>
        <w:jc w:val="left"/>
      </w:pPr>
      <w:rPr>
        <w:rFonts w:hint="default" w:ascii="Arial" w:hAnsi="Arial" w:eastAsia="Arial" w:cs="Arial"/>
        <w:spacing w:val="-1"/>
        <w:w w:val="100"/>
        <w:sz w:val="24"/>
        <w:szCs w:val="24"/>
      </w:rPr>
    </w:lvl>
    <w:lvl w:ilvl="3">
      <w:start w:val="1"/>
      <w:numFmt w:val="decimal"/>
      <w:lvlText w:val="%1.%2.%3.%4."/>
      <w:lvlJc w:val="left"/>
      <w:pPr>
        <w:ind w:left="1360" w:hanging="1080"/>
        <w:jc w:val="left"/>
      </w:pPr>
      <w:rPr>
        <w:rFonts w:hint="default" w:ascii="Arial" w:hAnsi="Arial" w:eastAsia="Arial" w:cs="Arial"/>
        <w:spacing w:val="-1"/>
        <w:w w:val="100"/>
        <w:sz w:val="24"/>
        <w:szCs w:val="24"/>
      </w:rPr>
    </w:lvl>
    <w:lvl w:ilvl="4">
      <w:start w:val="1"/>
      <w:numFmt w:val="decimal"/>
      <w:lvlText w:val="%1.%2.%3.%4.%5."/>
      <w:lvlJc w:val="left"/>
      <w:pPr>
        <w:ind w:left="1576" w:hanging="1295"/>
        <w:jc w:val="left"/>
      </w:pPr>
      <w:rPr>
        <w:rFonts w:hint="default" w:ascii="Arial" w:hAnsi="Arial" w:eastAsia="Arial" w:cs="Arial"/>
        <w:spacing w:val="-1"/>
        <w:w w:val="100"/>
        <w:sz w:val="24"/>
        <w:szCs w:val="24"/>
      </w:rPr>
    </w:lvl>
    <w:lvl w:ilvl="5">
      <w:start w:val="1"/>
      <w:numFmt w:val="decimal"/>
      <w:lvlText w:val="%1.%2.%3.%4.%5.%6."/>
      <w:lvlJc w:val="left"/>
      <w:pPr>
        <w:ind w:left="1790" w:hanging="1511"/>
        <w:jc w:val="left"/>
      </w:pPr>
      <w:rPr>
        <w:rFonts w:hint="default" w:ascii="Arial" w:hAnsi="Arial" w:eastAsia="Arial" w:cs="Arial"/>
        <w:spacing w:val="-1"/>
        <w:w w:val="100"/>
        <w:sz w:val="24"/>
        <w:szCs w:val="24"/>
      </w:rPr>
    </w:lvl>
    <w:lvl w:ilvl="6">
      <w:start w:val="0"/>
      <w:numFmt w:val="bullet"/>
      <w:lvlText w:val="•"/>
      <w:lvlJc w:val="left"/>
      <w:pPr>
        <w:ind w:left="4753" w:hanging="1511"/>
      </w:pPr>
      <w:rPr>
        <w:rFonts w:hint="default"/>
      </w:rPr>
    </w:lvl>
    <w:lvl w:ilvl="7">
      <w:start w:val="0"/>
      <w:numFmt w:val="bullet"/>
      <w:lvlText w:val="•"/>
      <w:lvlJc w:val="left"/>
      <w:pPr>
        <w:ind w:left="6230" w:hanging="1511"/>
      </w:pPr>
      <w:rPr>
        <w:rFonts w:hint="default"/>
      </w:rPr>
    </w:lvl>
    <w:lvl w:ilvl="8">
      <w:start w:val="0"/>
      <w:numFmt w:val="bullet"/>
      <w:lvlText w:val="•"/>
      <w:lvlJc w:val="left"/>
      <w:pPr>
        <w:ind w:left="7706" w:hanging="1511"/>
      </w:pPr>
      <w:rPr>
        <w:rFonts w:hint="default"/>
      </w:rPr>
    </w:lvl>
  </w:abstractNum>
  <w:abstractNum w:abstractNumId="8">
    <w:multiLevelType w:val="hybridMultilevel"/>
    <w:lvl w:ilvl="0">
      <w:start w:val="8"/>
      <w:numFmt w:val="decimal"/>
      <w:lvlText w:val="%1"/>
      <w:lvlJc w:val="left"/>
      <w:pPr>
        <w:ind w:left="870" w:hanging="591"/>
        <w:jc w:val="left"/>
      </w:pPr>
      <w:rPr>
        <w:rFonts w:hint="default"/>
      </w:rPr>
    </w:lvl>
    <w:lvl w:ilvl="1">
      <w:start w:val="2"/>
      <w:numFmt w:val="decimal"/>
      <w:lvlText w:val="%1.%2."/>
      <w:lvlJc w:val="left"/>
      <w:pPr>
        <w:ind w:left="870" w:hanging="591"/>
        <w:jc w:val="left"/>
      </w:pPr>
      <w:rPr>
        <w:rFonts w:hint="default" w:ascii="Arial" w:hAnsi="Arial" w:eastAsia="Arial" w:cs="Arial"/>
        <w:spacing w:val="-11"/>
        <w:w w:val="100"/>
        <w:sz w:val="24"/>
        <w:szCs w:val="24"/>
      </w:rPr>
    </w:lvl>
    <w:lvl w:ilvl="2">
      <w:start w:val="1"/>
      <w:numFmt w:val="decimal"/>
      <w:lvlText w:val="%1.%2.%3."/>
      <w:lvlJc w:val="left"/>
      <w:pPr>
        <w:ind w:left="1100" w:hanging="821"/>
        <w:jc w:val="left"/>
      </w:pPr>
      <w:rPr>
        <w:rFonts w:hint="default" w:ascii="Arial" w:hAnsi="Arial" w:eastAsia="Arial" w:cs="Arial"/>
        <w:spacing w:val="-2"/>
        <w:w w:val="100"/>
        <w:sz w:val="24"/>
        <w:szCs w:val="24"/>
      </w:rPr>
    </w:lvl>
    <w:lvl w:ilvl="3">
      <w:start w:val="1"/>
      <w:numFmt w:val="decimal"/>
      <w:lvlText w:val="%1.%2.%3.%4."/>
      <w:lvlJc w:val="left"/>
      <w:pPr>
        <w:ind w:left="1360" w:hanging="1080"/>
        <w:jc w:val="left"/>
      </w:pPr>
      <w:rPr>
        <w:rFonts w:hint="default" w:ascii="Arial" w:hAnsi="Arial" w:eastAsia="Arial" w:cs="Arial"/>
        <w:spacing w:val="-2"/>
        <w:w w:val="100"/>
        <w:sz w:val="24"/>
        <w:szCs w:val="24"/>
      </w:rPr>
    </w:lvl>
    <w:lvl w:ilvl="4">
      <w:start w:val="0"/>
      <w:numFmt w:val="bullet"/>
      <w:lvlText w:val="•"/>
      <w:lvlJc w:val="left"/>
      <w:pPr>
        <w:ind w:left="3685" w:hanging="1080"/>
      </w:pPr>
      <w:rPr>
        <w:rFonts w:hint="default"/>
      </w:rPr>
    </w:lvl>
    <w:lvl w:ilvl="5">
      <w:start w:val="0"/>
      <w:numFmt w:val="bullet"/>
      <w:lvlText w:val="•"/>
      <w:lvlJc w:val="left"/>
      <w:pPr>
        <w:ind w:left="4847" w:hanging="1080"/>
      </w:pPr>
      <w:rPr>
        <w:rFonts w:hint="default"/>
      </w:rPr>
    </w:lvl>
    <w:lvl w:ilvl="6">
      <w:start w:val="0"/>
      <w:numFmt w:val="bullet"/>
      <w:lvlText w:val="•"/>
      <w:lvlJc w:val="left"/>
      <w:pPr>
        <w:ind w:left="6010" w:hanging="1080"/>
      </w:pPr>
      <w:rPr>
        <w:rFonts w:hint="default"/>
      </w:rPr>
    </w:lvl>
    <w:lvl w:ilvl="7">
      <w:start w:val="0"/>
      <w:numFmt w:val="bullet"/>
      <w:lvlText w:val="•"/>
      <w:lvlJc w:val="left"/>
      <w:pPr>
        <w:ind w:left="7172" w:hanging="1080"/>
      </w:pPr>
      <w:rPr>
        <w:rFonts w:hint="default"/>
      </w:rPr>
    </w:lvl>
    <w:lvl w:ilvl="8">
      <w:start w:val="0"/>
      <w:numFmt w:val="bullet"/>
      <w:lvlText w:val="•"/>
      <w:lvlJc w:val="left"/>
      <w:pPr>
        <w:ind w:left="8335" w:hanging="1080"/>
      </w:pPr>
      <w:rPr>
        <w:rFonts w:hint="default"/>
      </w:rPr>
    </w:lvl>
  </w:abstractNum>
  <w:abstractNum w:abstractNumId="7">
    <w:multiLevelType w:val="hybridMultilevel"/>
    <w:lvl w:ilvl="0">
      <w:start w:val="3"/>
      <w:numFmt w:val="decimal"/>
      <w:lvlText w:val="%1"/>
      <w:lvlJc w:val="left"/>
      <w:pPr>
        <w:ind w:left="870" w:hanging="591"/>
        <w:jc w:val="left"/>
      </w:pPr>
      <w:rPr>
        <w:rFonts w:hint="default"/>
      </w:rPr>
    </w:lvl>
    <w:lvl w:ilvl="1">
      <w:start w:val="3"/>
      <w:numFmt w:val="decimal"/>
      <w:lvlText w:val="%1.%2."/>
      <w:lvlJc w:val="left"/>
      <w:pPr>
        <w:ind w:left="870" w:hanging="591"/>
        <w:jc w:val="left"/>
      </w:pPr>
      <w:rPr>
        <w:rFonts w:hint="default" w:ascii="Arial" w:hAnsi="Arial" w:eastAsia="Arial" w:cs="Arial"/>
        <w:spacing w:val="-11"/>
        <w:w w:val="100"/>
        <w:sz w:val="24"/>
        <w:szCs w:val="24"/>
      </w:rPr>
    </w:lvl>
    <w:lvl w:ilvl="2">
      <w:start w:val="1"/>
      <w:numFmt w:val="decimal"/>
      <w:lvlText w:val="%1.%2.%3."/>
      <w:lvlJc w:val="left"/>
      <w:pPr>
        <w:ind w:left="1100" w:hanging="821"/>
        <w:jc w:val="left"/>
      </w:pPr>
      <w:rPr>
        <w:rFonts w:hint="default" w:ascii="Arial" w:hAnsi="Arial" w:eastAsia="Arial" w:cs="Arial"/>
        <w:spacing w:val="-1"/>
        <w:w w:val="100"/>
        <w:sz w:val="24"/>
        <w:szCs w:val="24"/>
      </w:rPr>
    </w:lvl>
    <w:lvl w:ilvl="3">
      <w:start w:val="0"/>
      <w:numFmt w:val="bullet"/>
      <w:lvlText w:val="•"/>
      <w:lvlJc w:val="left"/>
      <w:pPr>
        <w:ind w:left="3224" w:hanging="821"/>
      </w:pPr>
      <w:rPr>
        <w:rFonts w:hint="default"/>
      </w:rPr>
    </w:lvl>
    <w:lvl w:ilvl="4">
      <w:start w:val="0"/>
      <w:numFmt w:val="bullet"/>
      <w:lvlText w:val="•"/>
      <w:lvlJc w:val="left"/>
      <w:pPr>
        <w:ind w:left="4286" w:hanging="821"/>
      </w:pPr>
      <w:rPr>
        <w:rFonts w:hint="default"/>
      </w:rPr>
    </w:lvl>
    <w:lvl w:ilvl="5">
      <w:start w:val="0"/>
      <w:numFmt w:val="bullet"/>
      <w:lvlText w:val="•"/>
      <w:lvlJc w:val="left"/>
      <w:pPr>
        <w:ind w:left="5348" w:hanging="821"/>
      </w:pPr>
      <w:rPr>
        <w:rFonts w:hint="default"/>
      </w:rPr>
    </w:lvl>
    <w:lvl w:ilvl="6">
      <w:start w:val="0"/>
      <w:numFmt w:val="bullet"/>
      <w:lvlText w:val="•"/>
      <w:lvlJc w:val="left"/>
      <w:pPr>
        <w:ind w:left="6411" w:hanging="821"/>
      </w:pPr>
      <w:rPr>
        <w:rFonts w:hint="default"/>
      </w:rPr>
    </w:lvl>
    <w:lvl w:ilvl="7">
      <w:start w:val="0"/>
      <w:numFmt w:val="bullet"/>
      <w:lvlText w:val="•"/>
      <w:lvlJc w:val="left"/>
      <w:pPr>
        <w:ind w:left="7473" w:hanging="821"/>
      </w:pPr>
      <w:rPr>
        <w:rFonts w:hint="default"/>
      </w:rPr>
    </w:lvl>
    <w:lvl w:ilvl="8">
      <w:start w:val="0"/>
      <w:numFmt w:val="bullet"/>
      <w:lvlText w:val="•"/>
      <w:lvlJc w:val="left"/>
      <w:pPr>
        <w:ind w:left="8535" w:hanging="821"/>
      </w:pPr>
      <w:rPr>
        <w:rFonts w:hint="default"/>
      </w:rPr>
    </w:lvl>
  </w:abstractNum>
  <w:abstractNum w:abstractNumId="6">
    <w:multiLevelType w:val="hybridMultilevel"/>
    <w:lvl w:ilvl="0">
      <w:start w:val="3"/>
      <w:numFmt w:val="decimal"/>
      <w:lvlText w:val="%1"/>
      <w:lvlJc w:val="left"/>
      <w:pPr>
        <w:ind w:left="1100" w:hanging="821"/>
        <w:jc w:val="left"/>
      </w:pPr>
      <w:rPr>
        <w:rFonts w:hint="default"/>
      </w:rPr>
    </w:lvl>
    <w:lvl w:ilvl="1">
      <w:start w:val="2"/>
      <w:numFmt w:val="decimal"/>
      <w:lvlText w:val="%1.%2"/>
      <w:lvlJc w:val="left"/>
      <w:pPr>
        <w:ind w:left="1100" w:hanging="821"/>
        <w:jc w:val="left"/>
      </w:pPr>
      <w:rPr>
        <w:rFonts w:hint="default"/>
      </w:rPr>
    </w:lvl>
    <w:lvl w:ilvl="2">
      <w:start w:val="3"/>
      <w:numFmt w:val="decimal"/>
      <w:lvlText w:val="%1.%2.%3."/>
      <w:lvlJc w:val="left"/>
      <w:pPr>
        <w:ind w:left="1100" w:hanging="821"/>
        <w:jc w:val="left"/>
      </w:pPr>
      <w:rPr>
        <w:rFonts w:hint="default" w:ascii="Arial" w:hAnsi="Arial" w:eastAsia="Arial" w:cs="Arial"/>
        <w:spacing w:val="-2"/>
        <w:w w:val="100"/>
        <w:sz w:val="24"/>
        <w:szCs w:val="24"/>
      </w:rPr>
    </w:lvl>
    <w:lvl w:ilvl="3">
      <w:start w:val="1"/>
      <w:numFmt w:val="decimal"/>
      <w:lvlText w:val="%1.%2.%3.%4."/>
      <w:lvlJc w:val="left"/>
      <w:pPr>
        <w:ind w:left="1358" w:hanging="1079"/>
        <w:jc w:val="left"/>
      </w:pPr>
      <w:rPr>
        <w:rFonts w:hint="default" w:ascii="Arial" w:hAnsi="Arial" w:eastAsia="Arial" w:cs="Arial"/>
        <w:spacing w:val="-1"/>
        <w:w w:val="100"/>
        <w:sz w:val="24"/>
        <w:szCs w:val="24"/>
      </w:rPr>
    </w:lvl>
    <w:lvl w:ilvl="4">
      <w:start w:val="1"/>
      <w:numFmt w:val="decimal"/>
      <w:lvlText w:val="%1.%2.%3.%4.%5."/>
      <w:lvlJc w:val="left"/>
      <w:pPr>
        <w:ind w:left="1576" w:hanging="1295"/>
        <w:jc w:val="left"/>
      </w:pPr>
      <w:rPr>
        <w:rFonts w:hint="default" w:ascii="Arial" w:hAnsi="Arial" w:eastAsia="Arial" w:cs="Arial"/>
        <w:spacing w:val="-1"/>
        <w:w w:val="100"/>
        <w:sz w:val="24"/>
        <w:szCs w:val="24"/>
      </w:rPr>
    </w:lvl>
    <w:lvl w:ilvl="5">
      <w:start w:val="0"/>
      <w:numFmt w:val="bullet"/>
      <w:lvlText w:val="•"/>
      <w:lvlJc w:val="left"/>
      <w:pPr>
        <w:ind w:left="4985" w:hanging="1295"/>
      </w:pPr>
      <w:rPr>
        <w:rFonts w:hint="default"/>
      </w:rPr>
    </w:lvl>
    <w:lvl w:ilvl="6">
      <w:start w:val="0"/>
      <w:numFmt w:val="bullet"/>
      <w:lvlText w:val="•"/>
      <w:lvlJc w:val="left"/>
      <w:pPr>
        <w:ind w:left="6120" w:hanging="1295"/>
      </w:pPr>
      <w:rPr>
        <w:rFonts w:hint="default"/>
      </w:rPr>
    </w:lvl>
    <w:lvl w:ilvl="7">
      <w:start w:val="0"/>
      <w:numFmt w:val="bullet"/>
      <w:lvlText w:val="•"/>
      <w:lvlJc w:val="left"/>
      <w:pPr>
        <w:ind w:left="7255" w:hanging="1295"/>
      </w:pPr>
      <w:rPr>
        <w:rFonts w:hint="default"/>
      </w:rPr>
    </w:lvl>
    <w:lvl w:ilvl="8">
      <w:start w:val="0"/>
      <w:numFmt w:val="bullet"/>
      <w:lvlText w:val="•"/>
      <w:lvlJc w:val="left"/>
      <w:pPr>
        <w:ind w:left="8390" w:hanging="1295"/>
      </w:pPr>
      <w:rPr>
        <w:rFonts w:hint="default"/>
      </w:rPr>
    </w:lvl>
  </w:abstractNum>
  <w:abstractNum w:abstractNumId="5">
    <w:multiLevelType w:val="hybridMultilevel"/>
    <w:lvl w:ilvl="0">
      <w:start w:val="3"/>
      <w:numFmt w:val="decimal"/>
      <w:lvlText w:val="%1"/>
      <w:lvlJc w:val="left"/>
      <w:pPr>
        <w:ind w:left="870" w:hanging="591"/>
        <w:jc w:val="left"/>
      </w:pPr>
      <w:rPr>
        <w:rFonts w:hint="default"/>
      </w:rPr>
    </w:lvl>
    <w:lvl w:ilvl="1">
      <w:start w:val="2"/>
      <w:numFmt w:val="decimal"/>
      <w:lvlText w:val="%1.%2."/>
      <w:lvlJc w:val="left"/>
      <w:pPr>
        <w:ind w:left="870" w:hanging="591"/>
        <w:jc w:val="left"/>
      </w:pPr>
      <w:rPr>
        <w:rFonts w:hint="default" w:ascii="Arial" w:hAnsi="Arial" w:eastAsia="Arial" w:cs="Arial"/>
        <w:spacing w:val="-11"/>
        <w:w w:val="100"/>
        <w:sz w:val="24"/>
        <w:szCs w:val="24"/>
      </w:rPr>
    </w:lvl>
    <w:lvl w:ilvl="2">
      <w:start w:val="1"/>
      <w:numFmt w:val="decimal"/>
      <w:lvlText w:val="%1.%2.%3."/>
      <w:lvlJc w:val="left"/>
      <w:pPr>
        <w:ind w:left="1100" w:hanging="821"/>
        <w:jc w:val="left"/>
      </w:pPr>
      <w:rPr>
        <w:rFonts w:hint="default" w:ascii="Arial" w:hAnsi="Arial" w:eastAsia="Arial" w:cs="Arial"/>
        <w:spacing w:val="-1"/>
        <w:w w:val="100"/>
        <w:sz w:val="24"/>
        <w:szCs w:val="24"/>
      </w:rPr>
    </w:lvl>
    <w:lvl w:ilvl="3">
      <w:start w:val="1"/>
      <w:numFmt w:val="decimal"/>
      <w:lvlText w:val="%1.%2.%3.%4."/>
      <w:lvlJc w:val="left"/>
      <w:pPr>
        <w:ind w:left="1358" w:hanging="1079"/>
        <w:jc w:val="left"/>
      </w:pPr>
      <w:rPr>
        <w:rFonts w:hint="default" w:ascii="Arial" w:hAnsi="Arial" w:eastAsia="Arial" w:cs="Arial"/>
        <w:spacing w:val="-1"/>
        <w:w w:val="100"/>
        <w:sz w:val="24"/>
        <w:szCs w:val="24"/>
      </w:rPr>
    </w:lvl>
    <w:lvl w:ilvl="4">
      <w:start w:val="1"/>
      <w:numFmt w:val="decimal"/>
      <w:lvlText w:val="%1.%2.%3.%4.%5."/>
      <w:lvlJc w:val="left"/>
      <w:pPr>
        <w:ind w:left="1576" w:hanging="1295"/>
        <w:jc w:val="left"/>
      </w:pPr>
      <w:rPr>
        <w:rFonts w:hint="default" w:ascii="Arial" w:hAnsi="Arial" w:eastAsia="Arial" w:cs="Arial"/>
        <w:spacing w:val="-2"/>
        <w:w w:val="100"/>
        <w:sz w:val="24"/>
        <w:szCs w:val="24"/>
      </w:rPr>
    </w:lvl>
    <w:lvl w:ilvl="5">
      <w:start w:val="0"/>
      <w:numFmt w:val="bullet"/>
      <w:lvlText w:val="•"/>
      <w:lvlJc w:val="left"/>
      <w:pPr>
        <w:ind w:left="4174" w:hanging="1295"/>
      </w:pPr>
      <w:rPr>
        <w:rFonts w:hint="default"/>
      </w:rPr>
    </w:lvl>
    <w:lvl w:ilvl="6">
      <w:start w:val="0"/>
      <w:numFmt w:val="bullet"/>
      <w:lvlText w:val="•"/>
      <w:lvlJc w:val="left"/>
      <w:pPr>
        <w:ind w:left="5471" w:hanging="1295"/>
      </w:pPr>
      <w:rPr>
        <w:rFonts w:hint="default"/>
      </w:rPr>
    </w:lvl>
    <w:lvl w:ilvl="7">
      <w:start w:val="0"/>
      <w:numFmt w:val="bullet"/>
      <w:lvlText w:val="•"/>
      <w:lvlJc w:val="left"/>
      <w:pPr>
        <w:ind w:left="6768" w:hanging="1295"/>
      </w:pPr>
      <w:rPr>
        <w:rFonts w:hint="default"/>
      </w:rPr>
    </w:lvl>
    <w:lvl w:ilvl="8">
      <w:start w:val="0"/>
      <w:numFmt w:val="bullet"/>
      <w:lvlText w:val="•"/>
      <w:lvlJc w:val="left"/>
      <w:pPr>
        <w:ind w:left="8065" w:hanging="1295"/>
      </w:pPr>
      <w:rPr>
        <w:rFonts w:hint="default"/>
      </w:rPr>
    </w:lvl>
  </w:abstractNum>
  <w:abstractNum w:abstractNumId="4">
    <w:multiLevelType w:val="hybridMultilevel"/>
    <w:lvl w:ilvl="0">
      <w:start w:val="5"/>
      <w:numFmt w:val="decimal"/>
      <w:lvlText w:val="(%1)"/>
      <w:lvlJc w:val="left"/>
      <w:pPr>
        <w:ind w:left="580" w:hanging="301"/>
        <w:jc w:val="left"/>
      </w:pPr>
      <w:rPr>
        <w:rFonts w:hint="default" w:ascii="Arial" w:hAnsi="Arial" w:eastAsia="Arial" w:cs="Arial"/>
        <w:w w:val="100"/>
        <w:sz w:val="20"/>
        <w:szCs w:val="20"/>
      </w:rPr>
    </w:lvl>
    <w:lvl w:ilvl="1">
      <w:start w:val="2"/>
      <w:numFmt w:val="decimal"/>
      <w:lvlText w:val="(%2)"/>
      <w:lvlJc w:val="left"/>
      <w:pPr>
        <w:ind w:left="870" w:hanging="361"/>
        <w:jc w:val="right"/>
      </w:pPr>
      <w:rPr>
        <w:rFonts w:hint="default" w:ascii="Arial" w:hAnsi="Arial" w:eastAsia="Arial" w:cs="Arial"/>
        <w:spacing w:val="-1"/>
        <w:w w:val="100"/>
        <w:sz w:val="24"/>
        <w:szCs w:val="24"/>
      </w:rPr>
    </w:lvl>
    <w:lvl w:ilvl="2">
      <w:start w:val="1"/>
      <w:numFmt w:val="decimal"/>
      <w:lvlText w:val="%3."/>
      <w:lvlJc w:val="left"/>
      <w:pPr>
        <w:ind w:left="2152" w:hanging="360"/>
        <w:jc w:val="left"/>
      </w:pPr>
      <w:rPr>
        <w:rFonts w:hint="default" w:ascii="Arial" w:hAnsi="Arial" w:eastAsia="Arial" w:cs="Arial"/>
        <w:spacing w:val="-2"/>
        <w:w w:val="100"/>
        <w:sz w:val="24"/>
        <w:szCs w:val="24"/>
      </w:rPr>
    </w:lvl>
    <w:lvl w:ilvl="3">
      <w:start w:val="0"/>
      <w:numFmt w:val="bullet"/>
      <w:lvlText w:val="•"/>
      <w:lvlJc w:val="left"/>
      <w:pPr>
        <w:ind w:left="2160" w:hanging="360"/>
      </w:pPr>
      <w:rPr>
        <w:rFonts w:hint="default"/>
      </w:rPr>
    </w:lvl>
    <w:lvl w:ilvl="4">
      <w:start w:val="0"/>
      <w:numFmt w:val="bullet"/>
      <w:lvlText w:val="•"/>
      <w:lvlJc w:val="left"/>
      <w:pPr>
        <w:ind w:left="3374" w:hanging="360"/>
      </w:pPr>
      <w:rPr>
        <w:rFonts w:hint="default"/>
      </w:rPr>
    </w:lvl>
    <w:lvl w:ilvl="5">
      <w:start w:val="0"/>
      <w:numFmt w:val="bullet"/>
      <w:lvlText w:val="•"/>
      <w:lvlJc w:val="left"/>
      <w:pPr>
        <w:ind w:left="4588" w:hanging="360"/>
      </w:pPr>
      <w:rPr>
        <w:rFonts w:hint="default"/>
      </w:rPr>
    </w:lvl>
    <w:lvl w:ilvl="6">
      <w:start w:val="0"/>
      <w:numFmt w:val="bullet"/>
      <w:lvlText w:val="•"/>
      <w:lvlJc w:val="left"/>
      <w:pPr>
        <w:ind w:left="5802" w:hanging="360"/>
      </w:pPr>
      <w:rPr>
        <w:rFonts w:hint="default"/>
      </w:rPr>
    </w:lvl>
    <w:lvl w:ilvl="7">
      <w:start w:val="0"/>
      <w:numFmt w:val="bullet"/>
      <w:lvlText w:val="•"/>
      <w:lvlJc w:val="left"/>
      <w:pPr>
        <w:ind w:left="7017" w:hanging="360"/>
      </w:pPr>
      <w:rPr>
        <w:rFonts w:hint="default"/>
      </w:rPr>
    </w:lvl>
    <w:lvl w:ilvl="8">
      <w:start w:val="0"/>
      <w:numFmt w:val="bullet"/>
      <w:lvlText w:val="•"/>
      <w:lvlJc w:val="left"/>
      <w:pPr>
        <w:ind w:left="8231" w:hanging="360"/>
      </w:pPr>
      <w:rPr>
        <w:rFonts w:hint="default"/>
      </w:rPr>
    </w:lvl>
  </w:abstractNum>
  <w:abstractNum w:abstractNumId="3">
    <w:multiLevelType w:val="hybridMultilevel"/>
    <w:lvl w:ilvl="0">
      <w:start w:val="1"/>
      <w:numFmt w:val="decimal"/>
      <w:lvlText w:val="%1."/>
      <w:lvlJc w:val="left"/>
      <w:pPr>
        <w:ind w:left="639" w:hanging="360"/>
        <w:jc w:val="left"/>
      </w:pPr>
      <w:rPr>
        <w:rFonts w:hint="default" w:ascii="Arial" w:hAnsi="Arial" w:eastAsia="Arial" w:cs="Arial"/>
        <w:b/>
        <w:bCs/>
        <w:spacing w:val="-1"/>
        <w:w w:val="100"/>
        <w:sz w:val="24"/>
        <w:szCs w:val="24"/>
      </w:rPr>
    </w:lvl>
    <w:lvl w:ilvl="1">
      <w:start w:val="1"/>
      <w:numFmt w:val="decimal"/>
      <w:lvlText w:val="%1.%2."/>
      <w:lvlJc w:val="left"/>
      <w:pPr>
        <w:ind w:left="870" w:hanging="591"/>
        <w:jc w:val="left"/>
      </w:pPr>
      <w:rPr>
        <w:rFonts w:hint="default" w:ascii="Arial" w:hAnsi="Arial" w:eastAsia="Arial" w:cs="Arial"/>
        <w:spacing w:val="-11"/>
        <w:w w:val="100"/>
        <w:sz w:val="24"/>
        <w:szCs w:val="24"/>
      </w:rPr>
    </w:lvl>
    <w:lvl w:ilvl="2">
      <w:start w:val="1"/>
      <w:numFmt w:val="decimal"/>
      <w:lvlText w:val="%1.%2.%3."/>
      <w:lvlJc w:val="left"/>
      <w:pPr>
        <w:ind w:left="1100" w:hanging="821"/>
        <w:jc w:val="left"/>
      </w:pPr>
      <w:rPr>
        <w:rFonts w:hint="default" w:ascii="Arial" w:hAnsi="Arial" w:eastAsia="Arial" w:cs="Arial"/>
        <w:spacing w:val="-23"/>
        <w:w w:val="99"/>
        <w:sz w:val="24"/>
        <w:szCs w:val="24"/>
      </w:rPr>
    </w:lvl>
    <w:lvl w:ilvl="3">
      <w:start w:val="1"/>
      <w:numFmt w:val="decimal"/>
      <w:lvlText w:val="%1.%2.%3.%4."/>
      <w:lvlJc w:val="left"/>
      <w:pPr>
        <w:ind w:left="1360" w:hanging="1081"/>
        <w:jc w:val="left"/>
      </w:pPr>
      <w:rPr>
        <w:rFonts w:hint="default" w:ascii="Arial" w:hAnsi="Arial" w:eastAsia="Arial" w:cs="Arial"/>
        <w:spacing w:val="-1"/>
        <w:w w:val="100"/>
        <w:sz w:val="24"/>
        <w:szCs w:val="24"/>
      </w:rPr>
    </w:lvl>
    <w:lvl w:ilvl="4">
      <w:start w:val="1"/>
      <w:numFmt w:val="decimal"/>
      <w:lvlText w:val="%1.%2.%3.%4.%5."/>
      <w:lvlJc w:val="left"/>
      <w:pPr>
        <w:ind w:left="1576" w:hanging="1296"/>
        <w:jc w:val="left"/>
      </w:pPr>
      <w:rPr>
        <w:rFonts w:hint="default" w:ascii="Arial" w:hAnsi="Arial" w:eastAsia="Arial" w:cs="Arial"/>
        <w:spacing w:val="-3"/>
        <w:w w:val="100"/>
        <w:sz w:val="24"/>
        <w:szCs w:val="24"/>
      </w:rPr>
    </w:lvl>
    <w:lvl w:ilvl="5">
      <w:start w:val="0"/>
      <w:numFmt w:val="bullet"/>
      <w:lvlText w:val="•"/>
      <w:lvlJc w:val="left"/>
      <w:pPr>
        <w:ind w:left="1720" w:hanging="1296"/>
      </w:pPr>
      <w:rPr>
        <w:rFonts w:hint="default"/>
      </w:rPr>
    </w:lvl>
    <w:lvl w:ilvl="6">
      <w:start w:val="0"/>
      <w:numFmt w:val="bullet"/>
      <w:lvlText w:val="•"/>
      <w:lvlJc w:val="left"/>
      <w:pPr>
        <w:ind w:left="3508" w:hanging="1296"/>
      </w:pPr>
      <w:rPr>
        <w:rFonts w:hint="default"/>
      </w:rPr>
    </w:lvl>
    <w:lvl w:ilvl="7">
      <w:start w:val="0"/>
      <w:numFmt w:val="bullet"/>
      <w:lvlText w:val="•"/>
      <w:lvlJc w:val="left"/>
      <w:pPr>
        <w:ind w:left="5296" w:hanging="1296"/>
      </w:pPr>
      <w:rPr>
        <w:rFonts w:hint="default"/>
      </w:rPr>
    </w:lvl>
    <w:lvl w:ilvl="8">
      <w:start w:val="0"/>
      <w:numFmt w:val="bullet"/>
      <w:lvlText w:val="•"/>
      <w:lvlJc w:val="left"/>
      <w:pPr>
        <w:ind w:left="7084" w:hanging="1296"/>
      </w:pPr>
      <w:rPr>
        <w:rFonts w:hint="default"/>
      </w:rPr>
    </w:lvl>
  </w:abstractNum>
  <w:abstractNum w:abstractNumId="2">
    <w:multiLevelType w:val="hybridMultilevel"/>
    <w:lvl w:ilvl="0">
      <w:start w:val="11"/>
      <w:numFmt w:val="decimal"/>
      <w:lvlText w:val="%1"/>
      <w:lvlJc w:val="left"/>
      <w:pPr>
        <w:ind w:left="1380" w:hanging="856"/>
        <w:jc w:val="left"/>
      </w:pPr>
      <w:rPr>
        <w:rFonts w:hint="default"/>
      </w:rPr>
    </w:lvl>
    <w:lvl w:ilvl="1">
      <w:start w:val="2"/>
      <w:numFmt w:val="decimal"/>
      <w:lvlText w:val="%1.%2."/>
      <w:lvlJc w:val="left"/>
      <w:pPr>
        <w:ind w:left="1380" w:hanging="856"/>
        <w:jc w:val="left"/>
      </w:pPr>
      <w:rPr>
        <w:rFonts w:hint="default" w:ascii="Arial" w:hAnsi="Arial" w:eastAsia="Arial" w:cs="Arial"/>
        <w:spacing w:val="-2"/>
        <w:w w:val="100"/>
        <w:sz w:val="24"/>
        <w:szCs w:val="24"/>
      </w:rPr>
    </w:lvl>
    <w:lvl w:ilvl="2">
      <w:start w:val="0"/>
      <w:numFmt w:val="bullet"/>
      <w:lvlText w:val="•"/>
      <w:lvlJc w:val="left"/>
      <w:pPr>
        <w:ind w:left="3236" w:hanging="856"/>
      </w:pPr>
      <w:rPr>
        <w:rFonts w:hint="default"/>
      </w:rPr>
    </w:lvl>
    <w:lvl w:ilvl="3">
      <w:start w:val="0"/>
      <w:numFmt w:val="bullet"/>
      <w:lvlText w:val="•"/>
      <w:lvlJc w:val="left"/>
      <w:pPr>
        <w:ind w:left="4164" w:hanging="856"/>
      </w:pPr>
      <w:rPr>
        <w:rFonts w:hint="default"/>
      </w:rPr>
    </w:lvl>
    <w:lvl w:ilvl="4">
      <w:start w:val="0"/>
      <w:numFmt w:val="bullet"/>
      <w:lvlText w:val="•"/>
      <w:lvlJc w:val="left"/>
      <w:pPr>
        <w:ind w:left="5092" w:hanging="856"/>
      </w:pPr>
      <w:rPr>
        <w:rFonts w:hint="default"/>
      </w:rPr>
    </w:lvl>
    <w:lvl w:ilvl="5">
      <w:start w:val="0"/>
      <w:numFmt w:val="bullet"/>
      <w:lvlText w:val="•"/>
      <w:lvlJc w:val="left"/>
      <w:pPr>
        <w:ind w:left="6020" w:hanging="856"/>
      </w:pPr>
      <w:rPr>
        <w:rFonts w:hint="default"/>
      </w:rPr>
    </w:lvl>
    <w:lvl w:ilvl="6">
      <w:start w:val="0"/>
      <w:numFmt w:val="bullet"/>
      <w:lvlText w:val="•"/>
      <w:lvlJc w:val="left"/>
      <w:pPr>
        <w:ind w:left="6948" w:hanging="856"/>
      </w:pPr>
      <w:rPr>
        <w:rFonts w:hint="default"/>
      </w:rPr>
    </w:lvl>
    <w:lvl w:ilvl="7">
      <w:start w:val="0"/>
      <w:numFmt w:val="bullet"/>
      <w:lvlText w:val="•"/>
      <w:lvlJc w:val="left"/>
      <w:pPr>
        <w:ind w:left="7876" w:hanging="856"/>
      </w:pPr>
      <w:rPr>
        <w:rFonts w:hint="default"/>
      </w:rPr>
    </w:lvl>
    <w:lvl w:ilvl="8">
      <w:start w:val="0"/>
      <w:numFmt w:val="bullet"/>
      <w:lvlText w:val="•"/>
      <w:lvlJc w:val="left"/>
      <w:pPr>
        <w:ind w:left="8804" w:hanging="856"/>
      </w:pPr>
      <w:rPr>
        <w:rFonts w:hint="default"/>
      </w:rPr>
    </w:lvl>
  </w:abstractNum>
  <w:abstractNum w:abstractNumId="1">
    <w:multiLevelType w:val="hybridMultilevel"/>
    <w:lvl w:ilvl="0">
      <w:start w:val="6"/>
      <w:numFmt w:val="decimal"/>
      <w:lvlText w:val="%1"/>
      <w:lvlJc w:val="left"/>
      <w:pPr>
        <w:ind w:left="1600" w:hanging="845"/>
        <w:jc w:val="left"/>
      </w:pPr>
      <w:rPr>
        <w:rFonts w:hint="default"/>
      </w:rPr>
    </w:lvl>
    <w:lvl w:ilvl="1">
      <w:start w:val="5"/>
      <w:numFmt w:val="decimal"/>
      <w:lvlText w:val="%1.%2"/>
      <w:lvlJc w:val="left"/>
      <w:pPr>
        <w:ind w:left="1600" w:hanging="845"/>
        <w:jc w:val="left"/>
      </w:pPr>
      <w:rPr>
        <w:rFonts w:hint="default"/>
      </w:rPr>
    </w:lvl>
    <w:lvl w:ilvl="2">
      <w:start w:val="2"/>
      <w:numFmt w:val="decimal"/>
      <w:lvlText w:val="%1.%2.%3."/>
      <w:lvlJc w:val="left"/>
      <w:pPr>
        <w:ind w:left="1600" w:hanging="845"/>
        <w:jc w:val="left"/>
      </w:pPr>
      <w:rPr>
        <w:rFonts w:hint="default" w:ascii="Arial" w:hAnsi="Arial" w:eastAsia="Arial" w:cs="Arial"/>
        <w:spacing w:val="-1"/>
        <w:w w:val="100"/>
        <w:sz w:val="24"/>
        <w:szCs w:val="24"/>
      </w:rPr>
    </w:lvl>
    <w:lvl w:ilvl="3">
      <w:start w:val="0"/>
      <w:numFmt w:val="bullet"/>
      <w:lvlText w:val="•"/>
      <w:lvlJc w:val="left"/>
      <w:pPr>
        <w:ind w:left="4318" w:hanging="845"/>
      </w:pPr>
      <w:rPr>
        <w:rFonts w:hint="default"/>
      </w:rPr>
    </w:lvl>
    <w:lvl w:ilvl="4">
      <w:start w:val="0"/>
      <w:numFmt w:val="bullet"/>
      <w:lvlText w:val="•"/>
      <w:lvlJc w:val="left"/>
      <w:pPr>
        <w:ind w:left="5224" w:hanging="845"/>
      </w:pPr>
      <w:rPr>
        <w:rFonts w:hint="default"/>
      </w:rPr>
    </w:lvl>
    <w:lvl w:ilvl="5">
      <w:start w:val="0"/>
      <w:numFmt w:val="bullet"/>
      <w:lvlText w:val="•"/>
      <w:lvlJc w:val="left"/>
      <w:pPr>
        <w:ind w:left="6130" w:hanging="845"/>
      </w:pPr>
      <w:rPr>
        <w:rFonts w:hint="default"/>
      </w:rPr>
    </w:lvl>
    <w:lvl w:ilvl="6">
      <w:start w:val="0"/>
      <w:numFmt w:val="bullet"/>
      <w:lvlText w:val="•"/>
      <w:lvlJc w:val="left"/>
      <w:pPr>
        <w:ind w:left="7036" w:hanging="845"/>
      </w:pPr>
      <w:rPr>
        <w:rFonts w:hint="default"/>
      </w:rPr>
    </w:lvl>
    <w:lvl w:ilvl="7">
      <w:start w:val="0"/>
      <w:numFmt w:val="bullet"/>
      <w:lvlText w:val="•"/>
      <w:lvlJc w:val="left"/>
      <w:pPr>
        <w:ind w:left="7942" w:hanging="845"/>
      </w:pPr>
      <w:rPr>
        <w:rFonts w:hint="default"/>
      </w:rPr>
    </w:lvl>
    <w:lvl w:ilvl="8">
      <w:start w:val="0"/>
      <w:numFmt w:val="bullet"/>
      <w:lvlText w:val="•"/>
      <w:lvlJc w:val="left"/>
      <w:pPr>
        <w:ind w:left="8848" w:hanging="845"/>
      </w:pPr>
      <w:rPr>
        <w:rFonts w:hint="default"/>
      </w:rPr>
    </w:lvl>
  </w:abstractNum>
  <w:abstractNum w:abstractNumId="0">
    <w:multiLevelType w:val="hybridMultilevel"/>
    <w:lvl w:ilvl="0">
      <w:start w:val="1"/>
      <w:numFmt w:val="decimal"/>
      <w:lvlText w:val="%1."/>
      <w:lvlJc w:val="left"/>
      <w:pPr>
        <w:ind w:left="820" w:hanging="540"/>
        <w:jc w:val="left"/>
      </w:pPr>
      <w:rPr>
        <w:rFonts w:hint="default" w:ascii="Arial" w:hAnsi="Arial" w:eastAsia="Arial" w:cs="Arial"/>
        <w:spacing w:val="-1"/>
        <w:w w:val="100"/>
        <w:sz w:val="24"/>
        <w:szCs w:val="24"/>
      </w:rPr>
    </w:lvl>
    <w:lvl w:ilvl="1">
      <w:start w:val="1"/>
      <w:numFmt w:val="decimal"/>
      <w:lvlText w:val="%1.%2."/>
      <w:lvlJc w:val="left"/>
      <w:pPr>
        <w:ind w:left="1000" w:hanging="476"/>
        <w:jc w:val="left"/>
      </w:pPr>
      <w:rPr>
        <w:rFonts w:hint="default" w:ascii="Arial" w:hAnsi="Arial" w:eastAsia="Arial" w:cs="Arial"/>
        <w:spacing w:val="-1"/>
        <w:w w:val="100"/>
        <w:sz w:val="24"/>
        <w:szCs w:val="24"/>
      </w:rPr>
    </w:lvl>
    <w:lvl w:ilvl="2">
      <w:start w:val="1"/>
      <w:numFmt w:val="decimal"/>
      <w:lvlText w:val="%1.%2.%3."/>
      <w:lvlJc w:val="left"/>
      <w:pPr>
        <w:ind w:left="755" w:hanging="845"/>
        <w:jc w:val="left"/>
      </w:pPr>
      <w:rPr>
        <w:rFonts w:hint="default" w:ascii="Arial" w:hAnsi="Arial" w:eastAsia="Arial" w:cs="Arial"/>
        <w:spacing w:val="-17"/>
        <w:w w:val="100"/>
        <w:sz w:val="24"/>
        <w:szCs w:val="24"/>
      </w:rPr>
    </w:lvl>
    <w:lvl w:ilvl="3">
      <w:start w:val="0"/>
      <w:numFmt w:val="bullet"/>
      <w:lvlText w:val="•"/>
      <w:lvlJc w:val="left"/>
      <w:pPr>
        <w:ind w:left="1380" w:hanging="845"/>
      </w:pPr>
      <w:rPr>
        <w:rFonts w:hint="default"/>
      </w:rPr>
    </w:lvl>
    <w:lvl w:ilvl="4">
      <w:start w:val="0"/>
      <w:numFmt w:val="bullet"/>
      <w:lvlText w:val="•"/>
      <w:lvlJc w:val="left"/>
      <w:pPr>
        <w:ind w:left="1600" w:hanging="845"/>
      </w:pPr>
      <w:rPr>
        <w:rFonts w:hint="default"/>
      </w:rPr>
    </w:lvl>
    <w:lvl w:ilvl="5">
      <w:start w:val="0"/>
      <w:numFmt w:val="bullet"/>
      <w:lvlText w:val="•"/>
      <w:lvlJc w:val="left"/>
      <w:pPr>
        <w:ind w:left="3110" w:hanging="845"/>
      </w:pPr>
      <w:rPr>
        <w:rFonts w:hint="default"/>
      </w:rPr>
    </w:lvl>
    <w:lvl w:ilvl="6">
      <w:start w:val="0"/>
      <w:numFmt w:val="bullet"/>
      <w:lvlText w:val="•"/>
      <w:lvlJc w:val="left"/>
      <w:pPr>
        <w:ind w:left="4620" w:hanging="845"/>
      </w:pPr>
      <w:rPr>
        <w:rFonts w:hint="default"/>
      </w:rPr>
    </w:lvl>
    <w:lvl w:ilvl="7">
      <w:start w:val="0"/>
      <w:numFmt w:val="bullet"/>
      <w:lvlText w:val="•"/>
      <w:lvlJc w:val="left"/>
      <w:pPr>
        <w:ind w:left="6130" w:hanging="845"/>
      </w:pPr>
      <w:rPr>
        <w:rFonts w:hint="default"/>
      </w:rPr>
    </w:lvl>
    <w:lvl w:ilvl="8">
      <w:start w:val="0"/>
      <w:numFmt w:val="bullet"/>
      <w:lvlText w:val="•"/>
      <w:lvlJc w:val="left"/>
      <w:pPr>
        <w:ind w:left="7640" w:hanging="845"/>
      </w:pPr>
      <w:rPr>
        <w:rFonts w:hint="default"/>
      </w:rPr>
    </w:lvl>
  </w:abstract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rPr>
  </w:style>
  <w:style w:styleId="TOC1" w:type="paragraph">
    <w:name w:val="TOC 1"/>
    <w:basedOn w:val="Normal"/>
    <w:uiPriority w:val="1"/>
    <w:qFormat/>
    <w:pPr>
      <w:spacing w:before="60"/>
      <w:ind w:left="820" w:hanging="540"/>
    </w:pPr>
    <w:rPr>
      <w:rFonts w:ascii="Arial" w:hAnsi="Arial" w:eastAsia="Arial" w:cs="Arial"/>
      <w:sz w:val="24"/>
      <w:szCs w:val="24"/>
    </w:rPr>
  </w:style>
  <w:style w:styleId="TOC2" w:type="paragraph">
    <w:name w:val="TOC 2"/>
    <w:basedOn w:val="Normal"/>
    <w:uiPriority w:val="1"/>
    <w:qFormat/>
    <w:pPr>
      <w:spacing w:before="60"/>
      <w:ind w:left="1000" w:hanging="476"/>
    </w:pPr>
    <w:rPr>
      <w:rFonts w:ascii="Arial" w:hAnsi="Arial" w:eastAsia="Arial" w:cs="Arial"/>
      <w:sz w:val="24"/>
      <w:szCs w:val="24"/>
    </w:rPr>
  </w:style>
  <w:style w:styleId="TOC3" w:type="paragraph">
    <w:name w:val="TOC 3"/>
    <w:basedOn w:val="Normal"/>
    <w:uiPriority w:val="1"/>
    <w:qFormat/>
    <w:pPr>
      <w:ind w:left="1600" w:hanging="845"/>
    </w:pPr>
    <w:rPr>
      <w:rFonts w:ascii="Arial" w:hAnsi="Arial" w:eastAsia="Arial" w:cs="Arial"/>
      <w:sz w:val="24"/>
      <w:szCs w:val="24"/>
    </w:rPr>
  </w:style>
  <w:style w:styleId="TOC4" w:type="paragraph">
    <w:name w:val="TOC 4"/>
    <w:basedOn w:val="Normal"/>
    <w:uiPriority w:val="1"/>
    <w:qFormat/>
    <w:pPr>
      <w:ind w:left="1000"/>
    </w:pPr>
    <w:rPr>
      <w:rFonts w:ascii="Arial" w:hAnsi="Arial" w:eastAsia="Arial" w:cs="Arial"/>
      <w:sz w:val="24"/>
      <w:szCs w:val="24"/>
    </w:rPr>
  </w:style>
  <w:style w:styleId="BodyText" w:type="paragraph">
    <w:name w:val="Body Text"/>
    <w:basedOn w:val="Normal"/>
    <w:uiPriority w:val="1"/>
    <w:qFormat/>
    <w:pPr/>
    <w:rPr>
      <w:rFonts w:ascii="Arial" w:hAnsi="Arial" w:eastAsia="Arial" w:cs="Arial"/>
      <w:sz w:val="24"/>
      <w:szCs w:val="24"/>
    </w:rPr>
  </w:style>
  <w:style w:styleId="Heading1" w:type="paragraph">
    <w:name w:val="Heading 1"/>
    <w:basedOn w:val="Normal"/>
    <w:uiPriority w:val="1"/>
    <w:qFormat/>
    <w:pPr>
      <w:ind w:left="870"/>
      <w:outlineLvl w:val="1"/>
    </w:pPr>
    <w:rPr>
      <w:rFonts w:ascii="Arial" w:hAnsi="Arial" w:eastAsia="Arial" w:cs="Arial"/>
      <w:b/>
      <w:bCs/>
      <w:sz w:val="24"/>
      <w:szCs w:val="24"/>
    </w:rPr>
  </w:style>
  <w:style w:styleId="ListParagraph" w:type="paragraph">
    <w:name w:val="List Paragraph"/>
    <w:basedOn w:val="Normal"/>
    <w:uiPriority w:val="1"/>
    <w:qFormat/>
    <w:pPr>
      <w:ind w:left="1100" w:hanging="821"/>
    </w:pPr>
    <w:rPr>
      <w:rFonts w:ascii="Arial" w:hAnsi="Arial" w:eastAsia="Arial" w:cs="Arial"/>
    </w:rPr>
  </w:style>
  <w:style w:styleId="TableParagraph" w:type="paragraph">
    <w:name w:val="Table Paragraph"/>
    <w:basedOn w:val="Normal"/>
    <w:uiPriority w:val="1"/>
    <w:qFormat/>
    <w:pPr>
      <w:jc w:val="center"/>
    </w:pPr>
    <w:rPr>
      <w:rFonts w:ascii="Arial" w:hAnsi="Arial" w:eastAsia="Arial" w:cs="Arial"/>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hyperlink" Target="http://www.waterboards.ca.gov/losangeles" TargetMode="External"/><Relationship Id="rId7" Type="http://schemas.openxmlformats.org/officeDocument/2006/relationships/header" Target="header1.xml"/><Relationship Id="rId8" Type="http://schemas.openxmlformats.org/officeDocument/2006/relationships/footer" Target="footer2.xml"/><Relationship Id="rId9" Type="http://schemas.openxmlformats.org/officeDocument/2006/relationships/hyperlink" Target="http://www.waterboards.ca.gov/make_a_payment/" TargetMode="External"/><Relationship Id="rId10" Type="http://schemas.openxmlformats.org/officeDocument/2006/relationships/header" Target="header2.xml"/><Relationship Id="rId11" Type="http://schemas.openxmlformats.org/officeDocument/2006/relationships/footer" Target="footer3.xml"/><Relationship Id="rId12" Type="http://schemas.openxmlformats.org/officeDocument/2006/relationships/header" Target="header3.xml"/><Relationship Id="rId13" Type="http://schemas.openxmlformats.org/officeDocument/2006/relationships/footer" Target="footer4.xml"/><Relationship Id="rId14" Type="http://schemas.openxmlformats.org/officeDocument/2006/relationships/image" Target="media/image1.jpeg"/><Relationship Id="rId15" Type="http://schemas.openxmlformats.org/officeDocument/2006/relationships/image" Target="media/image2.jpeg"/><Relationship Id="rId16" Type="http://schemas.openxmlformats.org/officeDocument/2006/relationships/image" Target="media/image3.jpeg"/><Relationship Id="rId17" Type="http://schemas.openxmlformats.org/officeDocument/2006/relationships/header" Target="header4.xml"/><Relationship Id="rId18" Type="http://schemas.openxmlformats.org/officeDocument/2006/relationships/footer" Target="footer5.xml"/><Relationship Id="rId19" Type="http://schemas.openxmlformats.org/officeDocument/2006/relationships/image" Target="media/image4.jpeg"/><Relationship Id="rId20" Type="http://schemas.openxmlformats.org/officeDocument/2006/relationships/header" Target="header5.xml"/><Relationship Id="rId21" Type="http://schemas.openxmlformats.org/officeDocument/2006/relationships/footer" Target="footer6.xml"/><Relationship Id="rId22" Type="http://schemas.openxmlformats.org/officeDocument/2006/relationships/image" Target="media/image5.jpeg"/><Relationship Id="rId23" Type="http://schemas.openxmlformats.org/officeDocument/2006/relationships/header" Target="header6.xml"/><Relationship Id="rId24" Type="http://schemas.openxmlformats.org/officeDocument/2006/relationships/footer" Target="footer7.xml"/><Relationship Id="rId25" Type="http://schemas.openxmlformats.org/officeDocument/2006/relationships/image" Target="media/image6.jpeg"/><Relationship Id="rId26" Type="http://schemas.openxmlformats.org/officeDocument/2006/relationships/header" Target="header7.xml"/><Relationship Id="rId27" Type="http://schemas.openxmlformats.org/officeDocument/2006/relationships/footer" Target="footer8.xml"/><Relationship Id="rId28" Type="http://schemas.openxmlformats.org/officeDocument/2006/relationships/header" Target="header8.xml"/><Relationship Id="rId29" Type="http://schemas.openxmlformats.org/officeDocument/2006/relationships/footer" Target="footer9.xml"/><Relationship Id="rId30" Type="http://schemas.openxmlformats.org/officeDocument/2006/relationships/header" Target="header9.xml"/><Relationship Id="rId31" Type="http://schemas.openxmlformats.org/officeDocument/2006/relationships/footer" Target="footer10.xml"/><Relationship Id="rId32" Type="http://schemas.openxmlformats.org/officeDocument/2006/relationships/header" Target="header10.xml"/><Relationship Id="rId33" Type="http://schemas.openxmlformats.org/officeDocument/2006/relationships/footer" Target="footer11.xml"/><Relationship Id="rId34" Type="http://schemas.openxmlformats.org/officeDocument/2006/relationships/header" Target="header11.xml"/><Relationship Id="rId35" Type="http://schemas.openxmlformats.org/officeDocument/2006/relationships/footer" Target="footer12.xml"/><Relationship Id="rId36" Type="http://schemas.openxmlformats.org/officeDocument/2006/relationships/header" Target="header12.xml"/><Relationship Id="rId37" Type="http://schemas.openxmlformats.org/officeDocument/2006/relationships/footer" Target="footer13.xml"/><Relationship Id="rId38" Type="http://schemas.openxmlformats.org/officeDocument/2006/relationships/header" Target="header13.xml"/><Relationship Id="rId39" Type="http://schemas.openxmlformats.org/officeDocument/2006/relationships/footer" Target="footer14.xml"/><Relationship Id="rId40" Type="http://schemas.openxmlformats.org/officeDocument/2006/relationships/header" Target="header14.xml"/><Relationship Id="rId41" Type="http://schemas.openxmlformats.org/officeDocument/2006/relationships/footer" Target="footer15.xml"/><Relationship Id="rId42" Type="http://schemas.openxmlformats.org/officeDocument/2006/relationships/header" Target="header15.xml"/><Relationship Id="rId43" Type="http://schemas.openxmlformats.org/officeDocument/2006/relationships/footer" Target="footer16.xml"/><Relationship Id="rId44" Type="http://schemas.openxmlformats.org/officeDocument/2006/relationships/header" Target="header16.xml"/><Relationship Id="rId45" Type="http://schemas.openxmlformats.org/officeDocument/2006/relationships/footer" Target="footer17.xml"/><Relationship Id="rId46" Type="http://schemas.openxmlformats.org/officeDocument/2006/relationships/header" Target="header17.xml"/><Relationship Id="rId47" Type="http://schemas.openxmlformats.org/officeDocument/2006/relationships/footer" Target="footer18.xml"/><Relationship Id="rId48" Type="http://schemas.openxmlformats.org/officeDocument/2006/relationships/header" Target="header18.xml"/><Relationship Id="rId49" Type="http://schemas.openxmlformats.org/officeDocument/2006/relationships/footer" Target="footer19.xml"/><Relationship Id="rId50" Type="http://schemas.openxmlformats.org/officeDocument/2006/relationships/header" Target="header19.xml"/><Relationship Id="rId51" Type="http://schemas.openxmlformats.org/officeDocument/2006/relationships/footer" Target="footer20.xml"/><Relationship Id="rId52" Type="http://schemas.openxmlformats.org/officeDocument/2006/relationships/header" Target="header20.xml"/><Relationship Id="rId53" Type="http://schemas.openxmlformats.org/officeDocument/2006/relationships/footer" Target="footer21.xml"/><Relationship Id="rId54" Type="http://schemas.openxmlformats.org/officeDocument/2006/relationships/header" Target="header21.xml"/><Relationship Id="rId55" Type="http://schemas.openxmlformats.org/officeDocument/2006/relationships/footer" Target="footer22.xml"/><Relationship Id="rId56" Type="http://schemas.openxmlformats.org/officeDocument/2006/relationships/header" Target="header22.xml"/><Relationship Id="rId57" Type="http://schemas.openxmlformats.org/officeDocument/2006/relationships/footer" Target="footer23.xml"/><Relationship Id="rId58" Type="http://schemas.openxmlformats.org/officeDocument/2006/relationships/header" Target="header23.xml"/><Relationship Id="rId59" Type="http://schemas.openxmlformats.org/officeDocument/2006/relationships/footer" Target="footer24.xml"/><Relationship Id="rId60" Type="http://schemas.openxmlformats.org/officeDocument/2006/relationships/hyperlink" Target="http://www.waterboards.ca.gov/losangeles/water_issues/programs/regional_pro" TargetMode="External"/><Relationship Id="rId61" Type="http://schemas.openxmlformats.org/officeDocument/2006/relationships/hyperlink" Target="http://www.waterboards.ca.gov/losangeles/water_issues/programs/303d/index" TargetMode="External"/><Relationship Id="rId62" Type="http://schemas.openxmlformats.org/officeDocument/2006/relationships/header" Target="header24.xml"/><Relationship Id="rId63" Type="http://schemas.openxmlformats.org/officeDocument/2006/relationships/footer" Target="footer25.xml"/><Relationship Id="rId64" Type="http://schemas.openxmlformats.org/officeDocument/2006/relationships/header" Target="header25.xml"/><Relationship Id="rId65" Type="http://schemas.openxmlformats.org/officeDocument/2006/relationships/footer" Target="footer26.xml"/><Relationship Id="rId66" Type="http://schemas.openxmlformats.org/officeDocument/2006/relationships/hyperlink" Target="http://www.gov.ca.gov/wp-" TargetMode="External"/><Relationship Id="rId67" Type="http://schemas.openxmlformats.org/officeDocument/2006/relationships/hyperlink" Target="http://www.biggestuscities.com/ca" TargetMode="External"/><Relationship Id="rId68" Type="http://schemas.openxmlformats.org/officeDocument/2006/relationships/hyperlink" Target="mailto:waterqualitypetitions@waterboards.ca.gov" TargetMode="External"/><Relationship Id="rId69" Type="http://schemas.openxmlformats.org/officeDocument/2006/relationships/hyperlink" Target="http://www.waterboards.ca.gov/public_notices/petitions/water_quality/wqpetition_i" TargetMode="External"/><Relationship Id="rId70" Type="http://schemas.openxmlformats.org/officeDocument/2006/relationships/hyperlink" Target="mailto:milasol.gaslan@waterboards.ca.gov" TargetMode="External"/><Relationship Id="rId71" Type="http://schemas.openxmlformats.org/officeDocument/2006/relationships/header" Target="header26.xml"/><Relationship Id="rId72" Type="http://schemas.openxmlformats.org/officeDocument/2006/relationships/footer" Target="footer27.xml"/><Relationship Id="rId73" Type="http://schemas.openxmlformats.org/officeDocument/2006/relationships/header" Target="header27.xml"/><Relationship Id="rId74" Type="http://schemas.openxmlformats.org/officeDocument/2006/relationships/footer" Target="footer28.xml"/><Relationship Id="rId75" Type="http://schemas.openxmlformats.org/officeDocument/2006/relationships/hyperlink" Target="http://www.waterboards.ca.gov/losangeles/water_issues/programs/stormwater/munici" TargetMode="External"/><Relationship Id="rId76" Type="http://schemas.openxmlformats.org/officeDocument/2006/relationships/header" Target="header28.xml"/><Relationship Id="rId77" Type="http://schemas.openxmlformats.org/officeDocument/2006/relationships/footer" Target="footer29.xml"/><Relationship Id="rId78" Type="http://schemas.openxmlformats.org/officeDocument/2006/relationships/hyperlink" Target="http://www.waterboards.ca.gov/drinking_water/certlic/drinkingwater/Lawbook.html" TargetMode="External"/><Relationship Id="rId79" Type="http://schemas.openxmlformats.org/officeDocument/2006/relationships/header" Target="header29.xml"/><Relationship Id="rId80" Type="http://schemas.openxmlformats.org/officeDocument/2006/relationships/footer" Target="footer30.xml"/><Relationship Id="rId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achoi</dc:creator>
  <dc:title>Microsoft Word - RB4 CII Draft Permit</dc:title>
  <dcterms:created xsi:type="dcterms:W3CDTF">2026-06-06T21:35:10Z</dcterms:created>
  <dcterms:modified xsi:type="dcterms:W3CDTF">2026-06-06T21:35:10Z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2023-11-02T00:00:00Z</vt:filetime>
  </property>
  <property fmtid="{D5CDD505-2E9C-101B-9397-08002B2CF9AE}" pid="3" name="Creator">
    <vt:lpwstr>PScript5.dll Version 5.2.2</vt:lpwstr>
  </property>
  <property fmtid="{D5CDD505-2E9C-101B-9397-08002B2CF9AE}" pid="4" name="LastSaved">
    <vt:filetime>2026-06-06T00:00:00Z</vt:filetime>
  </property>
</Properties>
</file>