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905C9" w14:textId="77777777" w:rsidR="00BB5644" w:rsidRPr="000F7776" w:rsidRDefault="00BB5644" w:rsidP="00314CC4">
      <w:pPr>
        <w:rPr>
          <w:sz w:val="10"/>
          <w:szCs w:val="10"/>
        </w:rPr>
      </w:pPr>
    </w:p>
    <w:p w14:paraId="5EB09BFE" w14:textId="3DC1438B" w:rsidR="00167E05" w:rsidRPr="008D37A2" w:rsidRDefault="00000000" w:rsidP="00314CC4">
      <w:pPr>
        <w:rPr>
          <w:rFonts w:ascii="Century Gothic" w:hAnsi="Century Gothic"/>
        </w:rPr>
      </w:pPr>
      <w:r w:rsidRPr="008D37A2">
        <w:rPr>
          <w:rFonts w:ascii="Century Gothic" w:hAnsi="Century Gothic"/>
          <w:sz w:val="22"/>
          <w:szCs w:val="22"/>
        </w:rPr>
        <w:t xml:space="preserve">September </w:t>
      </w:r>
      <w:r w:rsidR="00680063" w:rsidRPr="008D37A2">
        <w:rPr>
          <w:rFonts w:ascii="Century Gothic" w:hAnsi="Century Gothic"/>
          <w:sz w:val="22"/>
          <w:szCs w:val="22"/>
        </w:rPr>
        <w:t>3</w:t>
      </w:r>
      <w:r w:rsidRPr="008D37A2">
        <w:rPr>
          <w:rFonts w:ascii="Century Gothic" w:hAnsi="Century Gothic"/>
          <w:sz w:val="22"/>
          <w:szCs w:val="22"/>
        </w:rPr>
        <w:t>, 2026</w:t>
      </w:r>
    </w:p>
    <w:p w14:paraId="385D562F" w14:textId="77777777" w:rsidR="00167E05" w:rsidRPr="008D37A2" w:rsidRDefault="00167E05" w:rsidP="00314CC4">
      <w:pPr>
        <w:rPr>
          <w:rFonts w:ascii="Century Gothic" w:hAnsi="Century Gothic"/>
        </w:rPr>
      </w:pPr>
    </w:p>
    <w:p w14:paraId="6FC02D07" w14:textId="77777777" w:rsidR="00167E05" w:rsidRPr="008D37A2" w:rsidRDefault="00000000" w:rsidP="00314CC4">
      <w:pPr>
        <w:rPr>
          <w:rFonts w:ascii="Century Gothic" w:hAnsi="Century Gothic"/>
        </w:rPr>
      </w:pPr>
      <w:r w:rsidRPr="008D37A2">
        <w:rPr>
          <w:rFonts w:ascii="Century Gothic" w:hAnsi="Century Gothic"/>
          <w:sz w:val="22"/>
          <w:szCs w:val="22"/>
        </w:rPr>
        <w:t>The Honorable Gavin Newsom</w:t>
      </w:r>
    </w:p>
    <w:p w14:paraId="3A8C4B39" w14:textId="77777777" w:rsidR="00167E05" w:rsidRPr="008D37A2" w:rsidRDefault="00000000" w:rsidP="00314CC4">
      <w:pPr>
        <w:rPr>
          <w:rFonts w:ascii="Century Gothic" w:hAnsi="Century Gothic"/>
        </w:rPr>
      </w:pPr>
      <w:r w:rsidRPr="008D37A2">
        <w:rPr>
          <w:rFonts w:ascii="Century Gothic" w:hAnsi="Century Gothic"/>
          <w:sz w:val="22"/>
          <w:szCs w:val="22"/>
        </w:rPr>
        <w:t>Governor, State of California</w:t>
      </w:r>
    </w:p>
    <w:p w14:paraId="332E8FEA" w14:textId="77777777" w:rsidR="00167E05" w:rsidRPr="008D37A2" w:rsidRDefault="00000000" w:rsidP="00314CC4">
      <w:pPr>
        <w:rPr>
          <w:rFonts w:ascii="Century Gothic" w:hAnsi="Century Gothic"/>
        </w:rPr>
      </w:pPr>
      <w:r w:rsidRPr="008D37A2">
        <w:rPr>
          <w:rFonts w:ascii="Century Gothic" w:hAnsi="Century Gothic"/>
          <w:sz w:val="22"/>
          <w:szCs w:val="22"/>
        </w:rPr>
        <w:t>State Capitol, Suite 1173</w:t>
      </w:r>
    </w:p>
    <w:p w14:paraId="1C53E56B" w14:textId="77777777" w:rsidR="00167E05" w:rsidRPr="008D37A2" w:rsidRDefault="00000000" w:rsidP="00314CC4">
      <w:pPr>
        <w:rPr>
          <w:rFonts w:ascii="Century Gothic" w:hAnsi="Century Gothic"/>
          <w:sz w:val="22"/>
          <w:szCs w:val="22"/>
        </w:rPr>
      </w:pPr>
      <w:r w:rsidRPr="008D37A2">
        <w:rPr>
          <w:rFonts w:ascii="Century Gothic" w:hAnsi="Century Gothic"/>
          <w:sz w:val="22"/>
          <w:szCs w:val="22"/>
        </w:rPr>
        <w:t>Sacramento, CA 95814</w:t>
      </w:r>
    </w:p>
    <w:p w14:paraId="1D8DAC17" w14:textId="77777777" w:rsidR="00314CC4" w:rsidRPr="008D37A2" w:rsidRDefault="00314CC4" w:rsidP="00314CC4">
      <w:pPr>
        <w:rPr>
          <w:rFonts w:ascii="Century Gothic" w:hAnsi="Century Gothic"/>
        </w:rPr>
      </w:pPr>
    </w:p>
    <w:p w14:paraId="5994F271" w14:textId="77777777" w:rsidR="00167E05" w:rsidRPr="008D37A2" w:rsidRDefault="00000000">
      <w:pPr>
        <w:spacing w:after="200" w:line="276" w:lineRule="auto"/>
        <w:rPr>
          <w:rFonts w:ascii="Century Gothic" w:hAnsi="Century Gothic"/>
        </w:rPr>
      </w:pPr>
      <w:r w:rsidRPr="008D37A2">
        <w:rPr>
          <w:rFonts w:ascii="Century Gothic" w:hAnsi="Century Gothic"/>
          <w:b/>
          <w:bCs/>
          <w:sz w:val="22"/>
          <w:szCs w:val="22"/>
        </w:rPr>
        <w:t>RE: AB 1542 (Ward) – Sensitive Personal Information — REQUEST FOR VETO</w:t>
      </w:r>
    </w:p>
    <w:p w14:paraId="4225B836" w14:textId="77777777" w:rsidR="00167E05" w:rsidRPr="008D37A2" w:rsidRDefault="00000000">
      <w:pPr>
        <w:spacing w:after="200" w:line="276" w:lineRule="auto"/>
        <w:rPr>
          <w:rFonts w:ascii="Century Gothic" w:hAnsi="Century Gothic"/>
        </w:rPr>
      </w:pPr>
      <w:r w:rsidRPr="008D37A2">
        <w:rPr>
          <w:rFonts w:ascii="Century Gothic" w:hAnsi="Century Gothic"/>
          <w:sz w:val="22"/>
          <w:szCs w:val="22"/>
        </w:rPr>
        <w:t>Dear Governor Newsom:</w:t>
      </w:r>
    </w:p>
    <w:p w14:paraId="3C18BD52" w14:textId="04A7593A" w:rsidR="00167E05" w:rsidRPr="008D37A2" w:rsidRDefault="00314CC4" w:rsidP="00C70676">
      <w:pPr>
        <w:spacing w:after="200" w:line="276" w:lineRule="auto"/>
        <w:jc w:val="both"/>
        <w:rPr>
          <w:rFonts w:ascii="Century Gothic" w:hAnsi="Century Gothic"/>
        </w:rPr>
      </w:pPr>
      <w:r w:rsidRPr="008D37A2">
        <w:rPr>
          <w:rFonts w:ascii="Century Gothic" w:hAnsi="Century Gothic"/>
          <w:sz w:val="22"/>
          <w:szCs w:val="22"/>
        </w:rPr>
        <w:t>The California Chamber of Commerce</w:t>
      </w:r>
      <w:r w:rsidR="00C70676" w:rsidRPr="008D37A2">
        <w:rPr>
          <w:rFonts w:ascii="Century Gothic" w:hAnsi="Century Gothic"/>
          <w:sz w:val="22"/>
          <w:szCs w:val="22"/>
        </w:rPr>
        <w:t xml:space="preserve"> and undersigned organizations</w:t>
      </w:r>
      <w:r w:rsidRPr="008D37A2">
        <w:rPr>
          <w:rFonts w:ascii="Century Gothic" w:hAnsi="Century Gothic"/>
          <w:sz w:val="22"/>
          <w:szCs w:val="22"/>
        </w:rPr>
        <w:t xml:space="preserve"> respectfully request that you veto </w:t>
      </w:r>
      <w:r w:rsidRPr="008D37A2">
        <w:rPr>
          <w:rFonts w:ascii="Century Gothic" w:hAnsi="Century Gothic"/>
          <w:b/>
          <w:bCs/>
          <w:sz w:val="22"/>
          <w:szCs w:val="22"/>
        </w:rPr>
        <w:t>AB 1542</w:t>
      </w:r>
      <w:r w:rsidRPr="008D37A2">
        <w:rPr>
          <w:rFonts w:ascii="Century Gothic" w:hAnsi="Century Gothic"/>
          <w:sz w:val="22"/>
          <w:szCs w:val="22"/>
        </w:rPr>
        <w:t xml:space="preserve"> (Ward). We opposed this bill throughout its consideration in the Legislature, and the amendment taken on June 25, 2026</w:t>
      </w:r>
      <w:r w:rsidR="00DD5490" w:rsidRPr="008D37A2">
        <w:rPr>
          <w:rFonts w:ascii="Century Gothic" w:hAnsi="Century Gothic"/>
          <w:sz w:val="22"/>
          <w:szCs w:val="22"/>
        </w:rPr>
        <w:t>,</w:t>
      </w:r>
      <w:r w:rsidRPr="008D37A2">
        <w:rPr>
          <w:rFonts w:ascii="Century Gothic" w:hAnsi="Century Gothic"/>
          <w:sz w:val="22"/>
          <w:szCs w:val="22"/>
        </w:rPr>
        <w:t xml:space="preserve"> did nothing to address our core concern: </w:t>
      </w:r>
      <w:r w:rsidRPr="008D37A2">
        <w:rPr>
          <w:rFonts w:ascii="Century Gothic" w:hAnsi="Century Gothic"/>
          <w:b/>
          <w:bCs/>
          <w:sz w:val="22"/>
          <w:szCs w:val="22"/>
        </w:rPr>
        <w:t xml:space="preserve">AB 1542 </w:t>
      </w:r>
      <w:r w:rsidRPr="008D37A2">
        <w:rPr>
          <w:rFonts w:ascii="Century Gothic" w:hAnsi="Century Gothic"/>
          <w:sz w:val="22"/>
          <w:szCs w:val="22"/>
        </w:rPr>
        <w:t>replaces the California Consumer Privacy Act</w:t>
      </w:r>
      <w:r w:rsidR="00843C6F" w:rsidRPr="008D37A2">
        <w:rPr>
          <w:rFonts w:ascii="Century Gothic" w:hAnsi="Century Gothic"/>
          <w:sz w:val="22"/>
          <w:szCs w:val="22"/>
        </w:rPr>
        <w:t>’</w:t>
      </w:r>
      <w:r w:rsidRPr="008D37A2">
        <w:rPr>
          <w:rFonts w:ascii="Century Gothic" w:hAnsi="Century Gothic"/>
          <w:sz w:val="22"/>
          <w:szCs w:val="22"/>
        </w:rPr>
        <w:t>s (CCPA) “right to limit” model for sensitive personal information (SPI) with a categorical prohibition on selling or sharing that information with third parties, without recognizing any legitimate purpose for which a business should be permitted to disclose SPI — even with the consumer's own permission.</w:t>
      </w:r>
      <w:r w:rsidR="00E35A9B" w:rsidRPr="008D37A2">
        <w:rPr>
          <w:rFonts w:ascii="Century Gothic" w:hAnsi="Century Gothic"/>
          <w:sz w:val="22"/>
          <w:szCs w:val="22"/>
        </w:rPr>
        <w:t xml:space="preserve"> While we do not disagree with the author’s goal of strengthening protections for SPI, this goal can be achieved without disrupting critical software functionality that consumers, businesses, nonprofits, and governmental entities may be relying on.</w:t>
      </w:r>
      <w:r w:rsidR="0072412B" w:rsidRPr="008D37A2">
        <w:rPr>
          <w:rFonts w:ascii="Century Gothic" w:hAnsi="Century Gothic"/>
          <w:sz w:val="22"/>
          <w:szCs w:val="22"/>
        </w:rPr>
        <w:t xml:space="preserve"> </w:t>
      </w:r>
      <w:r w:rsidR="009B6F35">
        <w:rPr>
          <w:rFonts w:ascii="Century Gothic" w:hAnsi="Century Gothic"/>
          <w:sz w:val="22"/>
          <w:szCs w:val="22"/>
        </w:rPr>
        <w:t xml:space="preserve"> </w:t>
      </w:r>
      <w:r w:rsidR="0072412B" w:rsidRPr="008D37A2">
        <w:rPr>
          <w:rFonts w:ascii="Century Gothic" w:hAnsi="Century Gothic"/>
          <w:sz w:val="22"/>
          <w:szCs w:val="22"/>
        </w:rPr>
        <w:t xml:space="preserve">Specifically, it could be achieved by </w:t>
      </w:r>
      <w:r w:rsidR="00FC3D09" w:rsidRPr="008D37A2">
        <w:rPr>
          <w:rFonts w:ascii="Century Gothic" w:hAnsi="Century Gothic"/>
          <w:sz w:val="22"/>
          <w:szCs w:val="22"/>
        </w:rPr>
        <w:t>granting</w:t>
      </w:r>
      <w:r w:rsidR="0072412B" w:rsidRPr="008D37A2">
        <w:rPr>
          <w:rFonts w:ascii="Century Gothic" w:hAnsi="Century Gothic"/>
          <w:sz w:val="22"/>
          <w:szCs w:val="22"/>
        </w:rPr>
        <w:t xml:space="preserve"> consumers </w:t>
      </w:r>
      <w:r w:rsidR="00C02C84" w:rsidRPr="008D37A2">
        <w:rPr>
          <w:rFonts w:ascii="Century Gothic" w:hAnsi="Century Gothic"/>
          <w:sz w:val="22"/>
          <w:szCs w:val="22"/>
        </w:rPr>
        <w:t>a</w:t>
      </w:r>
      <w:r w:rsidR="00FC3D09" w:rsidRPr="008D37A2">
        <w:rPr>
          <w:rFonts w:ascii="Century Gothic" w:hAnsi="Century Gothic"/>
          <w:sz w:val="22"/>
          <w:szCs w:val="22"/>
        </w:rPr>
        <w:t xml:space="preserve"> right </w:t>
      </w:r>
      <w:r w:rsidR="00C02C84" w:rsidRPr="008D37A2">
        <w:rPr>
          <w:rFonts w:ascii="Century Gothic" w:hAnsi="Century Gothic"/>
          <w:sz w:val="22"/>
          <w:szCs w:val="22"/>
        </w:rPr>
        <w:t>to opt-in</w:t>
      </w:r>
      <w:r w:rsidR="00FC3D09" w:rsidRPr="008D37A2">
        <w:rPr>
          <w:rFonts w:ascii="Century Gothic" w:hAnsi="Century Gothic"/>
          <w:sz w:val="22"/>
          <w:szCs w:val="22"/>
        </w:rPr>
        <w:t xml:space="preserve"> </w:t>
      </w:r>
      <w:r w:rsidR="00C02C84" w:rsidRPr="008D37A2">
        <w:rPr>
          <w:rFonts w:ascii="Century Gothic" w:hAnsi="Century Gothic"/>
          <w:sz w:val="22"/>
          <w:szCs w:val="22"/>
        </w:rPr>
        <w:t>in place of their current right to opt-out</w:t>
      </w:r>
      <w:r w:rsidR="0072412B" w:rsidRPr="008D37A2">
        <w:rPr>
          <w:rFonts w:ascii="Century Gothic" w:hAnsi="Century Gothic"/>
          <w:sz w:val="22"/>
          <w:szCs w:val="22"/>
        </w:rPr>
        <w:t xml:space="preserve">, protecting their information the same way we do the information of minors’ data.  We offered that solution to the author several times, with the support of </w:t>
      </w:r>
      <w:r w:rsidR="00B062EF" w:rsidRPr="008D37A2">
        <w:rPr>
          <w:rFonts w:ascii="Century Gothic" w:hAnsi="Century Gothic"/>
          <w:sz w:val="22"/>
          <w:szCs w:val="22"/>
        </w:rPr>
        <w:t xml:space="preserve">numerous </w:t>
      </w:r>
      <w:r w:rsidR="0072412B" w:rsidRPr="008D37A2">
        <w:rPr>
          <w:rFonts w:ascii="Century Gothic" w:hAnsi="Century Gothic"/>
          <w:sz w:val="22"/>
          <w:szCs w:val="22"/>
        </w:rPr>
        <w:t>legislators</w:t>
      </w:r>
      <w:r w:rsidR="00B81C71" w:rsidRPr="008D37A2">
        <w:rPr>
          <w:rFonts w:ascii="Century Gothic" w:hAnsi="Century Gothic"/>
          <w:sz w:val="22"/>
          <w:szCs w:val="22"/>
        </w:rPr>
        <w:t xml:space="preserve"> who ultimately did not support the bill as a result</w:t>
      </w:r>
      <w:r w:rsidR="0072412B" w:rsidRPr="008D37A2">
        <w:rPr>
          <w:rFonts w:ascii="Century Gothic" w:hAnsi="Century Gothic"/>
          <w:sz w:val="22"/>
          <w:szCs w:val="22"/>
        </w:rPr>
        <w:t xml:space="preserve">, but it was rejected each time. </w:t>
      </w:r>
    </w:p>
    <w:p w14:paraId="1C23B421" w14:textId="77777777" w:rsidR="00167E05" w:rsidRPr="008D37A2" w:rsidRDefault="00000000" w:rsidP="00C70676">
      <w:pPr>
        <w:spacing w:after="200" w:line="276" w:lineRule="auto"/>
        <w:jc w:val="both"/>
        <w:rPr>
          <w:rFonts w:ascii="Century Gothic" w:hAnsi="Century Gothic"/>
        </w:rPr>
      </w:pPr>
      <w:r w:rsidRPr="008D37A2">
        <w:rPr>
          <w:rFonts w:ascii="Century Gothic" w:hAnsi="Century Gothic"/>
          <w:b/>
          <w:bCs/>
          <w:sz w:val="22"/>
          <w:szCs w:val="22"/>
        </w:rPr>
        <w:t>AB 1542 Takes Away Consumer Autonomy That the CCPA Was Built to Protect</w:t>
      </w:r>
    </w:p>
    <w:p w14:paraId="20C21874" w14:textId="263D78BC" w:rsidR="00167E05" w:rsidRPr="008D37A2" w:rsidRDefault="00000000" w:rsidP="00C70676">
      <w:pPr>
        <w:spacing w:after="200" w:line="276" w:lineRule="auto"/>
        <w:jc w:val="both"/>
        <w:rPr>
          <w:rFonts w:ascii="Century Gothic" w:hAnsi="Century Gothic"/>
        </w:rPr>
      </w:pPr>
      <w:r w:rsidRPr="008D37A2">
        <w:rPr>
          <w:rFonts w:ascii="Century Gothic" w:hAnsi="Century Gothic"/>
          <w:sz w:val="22"/>
          <w:szCs w:val="22"/>
        </w:rPr>
        <w:t xml:space="preserve">Since its enactment in 2018, the CCPA has been built around the principle of consumer control. The Assembly Privacy and Consumer Protection Committee's own analysis of AB 375 — the bill that created the CCPA — used the word “control” four times in the first five sentences describing the Act's purpose: to give consumers “an effective way to control the collection and sale of their [personal information] by businesses, service providers, and third parties.” In 2020, voters reinforced and expanded that control through Proposition 24, giving Californians strong, specific rights over their </w:t>
      </w:r>
      <w:r w:rsidR="00314CC4" w:rsidRPr="008D37A2">
        <w:rPr>
          <w:rFonts w:ascii="Century Gothic" w:hAnsi="Century Gothic"/>
          <w:sz w:val="22"/>
          <w:szCs w:val="22"/>
        </w:rPr>
        <w:t>S</w:t>
      </w:r>
      <w:r w:rsidRPr="008D37A2">
        <w:rPr>
          <w:rFonts w:ascii="Century Gothic" w:hAnsi="Century Gothic"/>
          <w:sz w:val="22"/>
          <w:szCs w:val="22"/>
        </w:rPr>
        <w:t xml:space="preserve">PI: the right to be told before collection what SPI will be gathered and whether it will be sold or shared; the right to limit a business's use and disclosure of SPI to what is reasonably necessary; the right to </w:t>
      </w:r>
      <w:r w:rsidRPr="008D37A2">
        <w:rPr>
          <w:rFonts w:ascii="Century Gothic" w:hAnsi="Century Gothic"/>
          <w:sz w:val="22"/>
          <w:szCs w:val="22"/>
        </w:rPr>
        <w:lastRenderedPageBreak/>
        <w:t>opt out of the sale of SPI (or opt in, for consumers under 16); and the rights of deletion, access, and disclosure that apply to all personal information.</w:t>
      </w:r>
    </w:p>
    <w:p w14:paraId="6527D317" w14:textId="77777777" w:rsidR="000F7776" w:rsidRPr="008D37A2" w:rsidRDefault="00000000" w:rsidP="00C70676">
      <w:pPr>
        <w:spacing w:after="200" w:line="276" w:lineRule="auto"/>
        <w:jc w:val="both"/>
        <w:rPr>
          <w:rFonts w:ascii="Century Gothic" w:hAnsi="Century Gothic"/>
          <w:sz w:val="22"/>
          <w:szCs w:val="22"/>
        </w:rPr>
        <w:sectPr w:rsidR="000F7776" w:rsidRPr="008D37A2">
          <w:headerReference w:type="default" r:id="rId11"/>
          <w:pgSz w:w="12240" w:h="15840"/>
          <w:pgMar w:top="1440" w:right="1440" w:bottom="1440" w:left="1440" w:header="708" w:footer="708" w:gutter="0"/>
          <w:cols w:space="720"/>
          <w:docGrid w:linePitch="360"/>
        </w:sectPr>
      </w:pPr>
      <w:r w:rsidRPr="008D37A2">
        <w:rPr>
          <w:rFonts w:ascii="Century Gothic" w:hAnsi="Century Gothic"/>
          <w:b/>
          <w:bCs/>
          <w:sz w:val="22"/>
          <w:szCs w:val="22"/>
        </w:rPr>
        <w:t>AB 1542</w:t>
      </w:r>
      <w:r w:rsidR="00314CC4" w:rsidRPr="008D37A2">
        <w:rPr>
          <w:rFonts w:ascii="Century Gothic" w:hAnsi="Century Gothic"/>
          <w:sz w:val="22"/>
          <w:szCs w:val="22"/>
        </w:rPr>
        <w:t xml:space="preserve"> </w:t>
      </w:r>
      <w:r w:rsidRPr="008D37A2">
        <w:rPr>
          <w:rFonts w:ascii="Century Gothic" w:hAnsi="Century Gothic"/>
          <w:sz w:val="22"/>
          <w:szCs w:val="22"/>
        </w:rPr>
        <w:t>abandon</w:t>
      </w:r>
      <w:r w:rsidR="00314CC4" w:rsidRPr="008D37A2">
        <w:rPr>
          <w:rFonts w:ascii="Century Gothic" w:hAnsi="Century Gothic"/>
          <w:sz w:val="22"/>
          <w:szCs w:val="22"/>
        </w:rPr>
        <w:t>s</w:t>
      </w:r>
      <w:r w:rsidRPr="008D37A2">
        <w:rPr>
          <w:rFonts w:ascii="Century Gothic" w:hAnsi="Century Gothic"/>
          <w:sz w:val="22"/>
          <w:szCs w:val="22"/>
        </w:rPr>
        <w:t xml:space="preserve"> that framework. Rather than </w:t>
      </w:r>
      <w:r w:rsidR="00E35A9B" w:rsidRPr="008D37A2">
        <w:rPr>
          <w:rFonts w:ascii="Century Gothic" w:hAnsi="Century Gothic"/>
          <w:sz w:val="22"/>
          <w:szCs w:val="22"/>
        </w:rPr>
        <w:t xml:space="preserve">building on </w:t>
      </w:r>
      <w:r w:rsidRPr="008D37A2">
        <w:rPr>
          <w:rFonts w:ascii="Century Gothic" w:hAnsi="Century Gothic"/>
          <w:sz w:val="22"/>
          <w:szCs w:val="22"/>
        </w:rPr>
        <w:t xml:space="preserve">the opt-out and opt-in </w:t>
      </w:r>
      <w:r w:rsidR="00E35A9B" w:rsidRPr="008D37A2">
        <w:rPr>
          <w:rFonts w:ascii="Century Gothic" w:hAnsi="Century Gothic"/>
          <w:sz w:val="22"/>
          <w:szCs w:val="22"/>
        </w:rPr>
        <w:t xml:space="preserve">framework </w:t>
      </w:r>
      <w:r w:rsidRPr="008D37A2">
        <w:rPr>
          <w:rFonts w:ascii="Century Gothic" w:hAnsi="Century Gothic"/>
          <w:sz w:val="22"/>
          <w:szCs w:val="22"/>
        </w:rPr>
        <w:t xml:space="preserve">voters </w:t>
      </w:r>
      <w:r w:rsidR="00E35A9B" w:rsidRPr="008D37A2">
        <w:rPr>
          <w:rFonts w:ascii="Century Gothic" w:hAnsi="Century Gothic"/>
          <w:sz w:val="22"/>
          <w:szCs w:val="22"/>
        </w:rPr>
        <w:t>approved in</w:t>
      </w:r>
      <w:r w:rsidRPr="008D37A2">
        <w:rPr>
          <w:rFonts w:ascii="Century Gothic" w:hAnsi="Century Gothic"/>
          <w:sz w:val="22"/>
          <w:szCs w:val="22"/>
        </w:rPr>
        <w:t xml:space="preserve"> the CCPA, </w:t>
      </w:r>
      <w:r w:rsidR="00E35A9B" w:rsidRPr="008D37A2">
        <w:rPr>
          <w:rFonts w:ascii="Century Gothic" w:hAnsi="Century Gothic"/>
          <w:sz w:val="22"/>
          <w:szCs w:val="22"/>
        </w:rPr>
        <w:t xml:space="preserve">the bill </w:t>
      </w:r>
      <w:r w:rsidRPr="008D37A2">
        <w:rPr>
          <w:rFonts w:ascii="Century Gothic" w:hAnsi="Century Gothic"/>
          <w:sz w:val="22"/>
          <w:szCs w:val="22"/>
        </w:rPr>
        <w:t xml:space="preserve">would — for the first time—remove consumer choice and substitute a blanket, one-size-fits-all prohibition. If the concern is that some businesses do not honor existing CCPA limits on third-party sharing, or that consumers do not know their rights, the answer is stronger enforcement </w:t>
      </w:r>
    </w:p>
    <w:p w14:paraId="5130D209" w14:textId="72601D23" w:rsidR="00167E05" w:rsidRPr="008D37A2" w:rsidRDefault="00000000" w:rsidP="00C70676">
      <w:pPr>
        <w:spacing w:after="200" w:line="276" w:lineRule="auto"/>
        <w:jc w:val="both"/>
        <w:rPr>
          <w:rFonts w:ascii="Century Gothic" w:hAnsi="Century Gothic"/>
          <w:sz w:val="22"/>
          <w:szCs w:val="22"/>
        </w:rPr>
      </w:pPr>
      <w:r w:rsidRPr="008D37A2">
        <w:rPr>
          <w:rFonts w:ascii="Century Gothic" w:hAnsi="Century Gothic"/>
          <w:sz w:val="22"/>
          <w:szCs w:val="22"/>
        </w:rPr>
        <w:t xml:space="preserve">and </w:t>
      </w:r>
      <w:r w:rsidR="00E35A9B" w:rsidRPr="008D37A2">
        <w:rPr>
          <w:rFonts w:ascii="Century Gothic" w:hAnsi="Century Gothic"/>
          <w:sz w:val="22"/>
          <w:szCs w:val="22"/>
        </w:rPr>
        <w:t>better disclosure</w:t>
      </w:r>
      <w:r w:rsidRPr="008D37A2">
        <w:rPr>
          <w:rFonts w:ascii="Century Gothic" w:hAnsi="Century Gothic"/>
          <w:sz w:val="22"/>
          <w:szCs w:val="22"/>
        </w:rPr>
        <w:t xml:space="preserve">. A far more targeted, and far less disruptive, fix was available and </w:t>
      </w:r>
      <w:r w:rsidR="00314CC4" w:rsidRPr="008D37A2">
        <w:rPr>
          <w:rFonts w:ascii="Century Gothic" w:hAnsi="Century Gothic"/>
          <w:sz w:val="22"/>
          <w:szCs w:val="22"/>
        </w:rPr>
        <w:t>offered to the author</w:t>
      </w:r>
      <w:r w:rsidRPr="008D37A2">
        <w:rPr>
          <w:rFonts w:ascii="Century Gothic" w:hAnsi="Century Gothic"/>
          <w:sz w:val="22"/>
          <w:szCs w:val="22"/>
        </w:rPr>
        <w:t xml:space="preserve">: transition SPI sharing from an opt-out to an opt-in mechanism, which would </w:t>
      </w:r>
      <w:r w:rsidR="00A64B80" w:rsidRPr="008D37A2">
        <w:rPr>
          <w:rFonts w:ascii="Century Gothic" w:hAnsi="Century Gothic"/>
          <w:sz w:val="22"/>
          <w:szCs w:val="22"/>
        </w:rPr>
        <w:t xml:space="preserve">require </w:t>
      </w:r>
      <w:r w:rsidRPr="008D37A2">
        <w:rPr>
          <w:rFonts w:ascii="Century Gothic" w:hAnsi="Century Gothic"/>
          <w:sz w:val="22"/>
          <w:szCs w:val="22"/>
        </w:rPr>
        <w:t>businesses to obtain a consumer's express consent before selling or sharing their SPI with third parties</w:t>
      </w:r>
      <w:r w:rsidR="00E35A9B" w:rsidRPr="008D37A2">
        <w:rPr>
          <w:rFonts w:ascii="Century Gothic" w:hAnsi="Century Gothic"/>
          <w:sz w:val="22"/>
          <w:szCs w:val="22"/>
        </w:rPr>
        <w:t>.</w:t>
      </w:r>
      <w:r w:rsidRPr="008D37A2">
        <w:rPr>
          <w:rFonts w:ascii="Century Gothic" w:hAnsi="Century Gothic"/>
          <w:sz w:val="22"/>
          <w:szCs w:val="22"/>
        </w:rPr>
        <w:t xml:space="preserve"> </w:t>
      </w:r>
      <w:r w:rsidR="00E35A9B" w:rsidRPr="008D37A2">
        <w:rPr>
          <w:rFonts w:ascii="Century Gothic" w:hAnsi="Century Gothic"/>
          <w:sz w:val="22"/>
          <w:szCs w:val="22"/>
        </w:rPr>
        <w:t>The CCPA’s existing ban on obtaining consent through “dark patterns” (Civ. Code § 1798.140(h), (l)</w:t>
      </w:r>
      <w:r w:rsidR="00843C6F" w:rsidRPr="008D37A2">
        <w:rPr>
          <w:rFonts w:ascii="Century Gothic" w:hAnsi="Century Gothic"/>
          <w:sz w:val="22"/>
          <w:szCs w:val="22"/>
        </w:rPr>
        <w:t xml:space="preserve">; </w:t>
      </w:r>
      <w:r w:rsidR="00843C6F" w:rsidRPr="008D37A2">
        <w:rPr>
          <w:rFonts w:ascii="Century Gothic" w:hAnsi="Century Gothic"/>
          <w:i/>
          <w:iCs/>
          <w:sz w:val="22"/>
          <w:szCs w:val="22"/>
        </w:rPr>
        <w:t>see</w:t>
      </w:r>
      <w:r w:rsidR="00843C6F" w:rsidRPr="008D37A2">
        <w:rPr>
          <w:rFonts w:ascii="Century Gothic" w:hAnsi="Century Gothic"/>
          <w:sz w:val="22"/>
          <w:szCs w:val="22"/>
        </w:rPr>
        <w:t xml:space="preserve"> </w:t>
      </w:r>
      <w:r w:rsidR="00843C6F" w:rsidRPr="008D37A2">
        <w:rPr>
          <w:rFonts w:ascii="Century Gothic" w:hAnsi="Century Gothic"/>
          <w:i/>
          <w:iCs/>
          <w:sz w:val="22"/>
          <w:szCs w:val="22"/>
        </w:rPr>
        <w:t>also</w:t>
      </w:r>
      <w:r w:rsidR="00843C6F" w:rsidRPr="008D37A2">
        <w:rPr>
          <w:rFonts w:ascii="Century Gothic" w:hAnsi="Century Gothic"/>
          <w:sz w:val="22"/>
          <w:szCs w:val="22"/>
        </w:rPr>
        <w:t xml:space="preserve"> CPPA regs. </w:t>
      </w:r>
      <w:r w:rsidR="00843C6F" w:rsidRPr="008D37A2">
        <w:rPr>
          <w:rFonts w:ascii="Century Gothic" w:hAnsi="Century Gothic"/>
          <w:sz w:val="22"/>
          <w:szCs w:val="22"/>
        </w:rPr>
        <w:t>§</w:t>
      </w:r>
      <w:r w:rsidR="00843C6F" w:rsidRPr="008D37A2">
        <w:rPr>
          <w:rFonts w:ascii="Century Gothic" w:hAnsi="Century Gothic"/>
          <w:sz w:val="22"/>
          <w:szCs w:val="22"/>
        </w:rPr>
        <w:t xml:space="preserve"> 7004</w:t>
      </w:r>
      <w:r w:rsidR="00E35A9B" w:rsidRPr="008D37A2">
        <w:rPr>
          <w:rFonts w:ascii="Century Gothic" w:hAnsi="Century Gothic"/>
          <w:sz w:val="22"/>
          <w:szCs w:val="22"/>
        </w:rPr>
        <w:t xml:space="preserve">) would have worked to ensure that consumers were adequately informed. An opt-in mechanism would therefore have allowed </w:t>
      </w:r>
      <w:r w:rsidRPr="008D37A2">
        <w:rPr>
          <w:rFonts w:ascii="Century Gothic" w:hAnsi="Century Gothic"/>
          <w:sz w:val="22"/>
          <w:szCs w:val="22"/>
        </w:rPr>
        <w:t>consumer</w:t>
      </w:r>
      <w:r w:rsidR="00E35A9B" w:rsidRPr="008D37A2">
        <w:rPr>
          <w:rFonts w:ascii="Century Gothic" w:hAnsi="Century Gothic"/>
          <w:sz w:val="22"/>
          <w:szCs w:val="22"/>
        </w:rPr>
        <w:t>s</w:t>
      </w:r>
      <w:r w:rsidRPr="008D37A2">
        <w:rPr>
          <w:rFonts w:ascii="Century Gothic" w:hAnsi="Century Gothic"/>
          <w:sz w:val="22"/>
          <w:szCs w:val="22"/>
        </w:rPr>
        <w:t xml:space="preserve"> </w:t>
      </w:r>
      <w:r w:rsidR="00E35A9B" w:rsidRPr="008D37A2">
        <w:rPr>
          <w:rFonts w:ascii="Century Gothic" w:hAnsi="Century Gothic"/>
          <w:sz w:val="22"/>
          <w:szCs w:val="22"/>
        </w:rPr>
        <w:t>to continue making informed choices as to whether use of a service merited sale or sharing of their SPI,</w:t>
      </w:r>
      <w:r w:rsidRPr="008D37A2">
        <w:rPr>
          <w:rFonts w:ascii="Century Gothic" w:hAnsi="Century Gothic"/>
          <w:sz w:val="22"/>
          <w:szCs w:val="22"/>
        </w:rPr>
        <w:t xml:space="preserve"> rather than eliminating </w:t>
      </w:r>
      <w:r w:rsidR="00E35A9B" w:rsidRPr="008D37A2">
        <w:rPr>
          <w:rFonts w:ascii="Century Gothic" w:hAnsi="Century Gothic"/>
          <w:sz w:val="22"/>
          <w:szCs w:val="22"/>
        </w:rPr>
        <w:t>this choice altogether</w:t>
      </w:r>
      <w:r w:rsidRPr="008D37A2">
        <w:rPr>
          <w:rFonts w:ascii="Century Gothic" w:hAnsi="Century Gothic"/>
          <w:sz w:val="22"/>
          <w:szCs w:val="22"/>
        </w:rPr>
        <w:t>.</w:t>
      </w:r>
      <w:r w:rsidR="00E35A9B" w:rsidRPr="008D37A2">
        <w:rPr>
          <w:rFonts w:ascii="Century Gothic" w:hAnsi="Century Gothic"/>
          <w:sz w:val="22"/>
          <w:szCs w:val="22"/>
        </w:rPr>
        <w:t xml:space="preserve"> </w:t>
      </w:r>
    </w:p>
    <w:p w14:paraId="58F69070" w14:textId="77777777" w:rsidR="00167E05" w:rsidRPr="008D37A2" w:rsidRDefault="00000000" w:rsidP="00C70676">
      <w:pPr>
        <w:keepNext/>
        <w:spacing w:after="200" w:line="276" w:lineRule="auto"/>
        <w:jc w:val="both"/>
        <w:rPr>
          <w:rFonts w:ascii="Century Gothic" w:hAnsi="Century Gothic"/>
        </w:rPr>
      </w:pPr>
      <w:r w:rsidRPr="008D37A2">
        <w:rPr>
          <w:rFonts w:ascii="Century Gothic" w:hAnsi="Century Gothic"/>
          <w:b/>
          <w:bCs/>
          <w:sz w:val="22"/>
          <w:szCs w:val="22"/>
        </w:rPr>
        <w:t>The Bill's Categorical Ban Creates Serious, Unintended Consequences</w:t>
      </w:r>
    </w:p>
    <w:p w14:paraId="7666FFFB" w14:textId="3D6C71F4" w:rsidR="00E35A9B" w:rsidRPr="008D37A2" w:rsidRDefault="00E35A9B" w:rsidP="00C70676">
      <w:pPr>
        <w:spacing w:after="200" w:line="276" w:lineRule="auto"/>
        <w:jc w:val="both"/>
        <w:rPr>
          <w:rFonts w:ascii="Century Gothic" w:hAnsi="Century Gothic"/>
        </w:rPr>
      </w:pPr>
      <w:r w:rsidRPr="008D37A2">
        <w:rPr>
          <w:rFonts w:ascii="Century Gothic" w:hAnsi="Century Gothic"/>
          <w:sz w:val="22"/>
          <w:szCs w:val="22"/>
        </w:rPr>
        <w:t>With the August 21</w:t>
      </w:r>
      <w:r w:rsidRPr="008D37A2">
        <w:rPr>
          <w:rFonts w:ascii="Century Gothic" w:hAnsi="Century Gothic"/>
          <w:sz w:val="22"/>
          <w:szCs w:val="22"/>
          <w:vertAlign w:val="superscript"/>
        </w:rPr>
        <w:t>st</w:t>
      </w:r>
      <w:r w:rsidRPr="008D37A2">
        <w:rPr>
          <w:rFonts w:ascii="Century Gothic" w:hAnsi="Century Gothic"/>
          <w:sz w:val="22"/>
          <w:szCs w:val="22"/>
        </w:rPr>
        <w:t xml:space="preserve"> amendments, the author chose to exempt one narrow use case for commercial credit reporting as it relates to social security numbers (one type of SPI), but left other critical uses prohibited. In other words, the author is acknowledging that there is at least one critical use case for when SPI needs to be shared with a third party. </w:t>
      </w:r>
      <w:r w:rsidRPr="008D37A2">
        <w:rPr>
          <w:rFonts w:ascii="Century Gothic" w:hAnsi="Century Gothic"/>
          <w:b/>
          <w:bCs/>
          <w:sz w:val="22"/>
          <w:szCs w:val="22"/>
        </w:rPr>
        <w:t>The problem is that</w:t>
      </w:r>
      <w:r w:rsidR="009E3975" w:rsidRPr="008D37A2">
        <w:rPr>
          <w:rFonts w:ascii="Century Gothic" w:hAnsi="Century Gothic"/>
          <w:b/>
          <w:bCs/>
          <w:sz w:val="22"/>
          <w:szCs w:val="22"/>
        </w:rPr>
        <w:t>, by enacting a categorical ban,</w:t>
      </w:r>
      <w:r w:rsidRPr="008D37A2">
        <w:rPr>
          <w:rFonts w:ascii="Century Gothic" w:hAnsi="Century Gothic"/>
          <w:b/>
          <w:bCs/>
          <w:sz w:val="22"/>
          <w:szCs w:val="22"/>
        </w:rPr>
        <w:t xml:space="preserve"> the bill continues to prohibit other critical use cases</w:t>
      </w:r>
      <w:r w:rsidR="009E3975" w:rsidRPr="008D37A2">
        <w:rPr>
          <w:rFonts w:ascii="Century Gothic" w:hAnsi="Century Gothic"/>
          <w:b/>
          <w:bCs/>
          <w:sz w:val="22"/>
          <w:szCs w:val="22"/>
        </w:rPr>
        <w:t xml:space="preserve"> which have developed around the CCPA’s existing </w:t>
      </w:r>
      <w:proofErr w:type="gramStart"/>
      <w:r w:rsidR="009E3975" w:rsidRPr="008D37A2">
        <w:rPr>
          <w:rFonts w:ascii="Century Gothic" w:hAnsi="Century Gothic"/>
          <w:b/>
          <w:bCs/>
          <w:sz w:val="22"/>
          <w:szCs w:val="22"/>
        </w:rPr>
        <w:t>framework</w:t>
      </w:r>
      <w:r w:rsidRPr="008D37A2">
        <w:rPr>
          <w:rFonts w:ascii="Century Gothic" w:hAnsi="Century Gothic"/>
          <w:b/>
          <w:bCs/>
          <w:sz w:val="22"/>
          <w:szCs w:val="22"/>
        </w:rPr>
        <w:t>, and</w:t>
      </w:r>
      <w:proofErr w:type="gramEnd"/>
      <w:r w:rsidRPr="008D37A2">
        <w:rPr>
          <w:rFonts w:ascii="Century Gothic" w:hAnsi="Century Gothic"/>
          <w:b/>
          <w:bCs/>
          <w:sz w:val="22"/>
          <w:szCs w:val="22"/>
        </w:rPr>
        <w:t xml:space="preserve"> prevents the development of future software in which sale or sharing of SPI </w:t>
      </w:r>
      <w:r w:rsidR="009E3975" w:rsidRPr="008D37A2">
        <w:rPr>
          <w:rFonts w:ascii="Century Gothic" w:hAnsi="Century Gothic"/>
          <w:b/>
          <w:bCs/>
          <w:sz w:val="22"/>
          <w:szCs w:val="22"/>
        </w:rPr>
        <w:t xml:space="preserve">(with consumer consent) </w:t>
      </w:r>
      <w:r w:rsidRPr="008D37A2">
        <w:rPr>
          <w:rFonts w:ascii="Century Gothic" w:hAnsi="Century Gothic"/>
          <w:b/>
          <w:bCs/>
          <w:sz w:val="22"/>
          <w:szCs w:val="22"/>
        </w:rPr>
        <w:t xml:space="preserve">may </w:t>
      </w:r>
      <w:r w:rsidR="009E3975" w:rsidRPr="008D37A2">
        <w:rPr>
          <w:rFonts w:ascii="Century Gothic" w:hAnsi="Century Gothic"/>
          <w:b/>
          <w:bCs/>
          <w:sz w:val="22"/>
          <w:szCs w:val="22"/>
        </w:rPr>
        <w:t>be</w:t>
      </w:r>
      <w:r w:rsidRPr="008D37A2">
        <w:rPr>
          <w:rFonts w:ascii="Century Gothic" w:hAnsi="Century Gothic"/>
          <w:b/>
          <w:bCs/>
          <w:sz w:val="22"/>
          <w:szCs w:val="22"/>
        </w:rPr>
        <w:t xml:space="preserve"> essential to useful functionality</w:t>
      </w:r>
      <w:r w:rsidRPr="008D37A2">
        <w:rPr>
          <w:rFonts w:ascii="Century Gothic" w:hAnsi="Century Gothic"/>
          <w:sz w:val="22"/>
          <w:szCs w:val="22"/>
        </w:rPr>
        <w:t xml:space="preserve">.  </w:t>
      </w:r>
    </w:p>
    <w:p w14:paraId="3FC83F44" w14:textId="5350F3A4" w:rsidR="009E3975" w:rsidRPr="008D37A2" w:rsidRDefault="009E3975" w:rsidP="00C70676">
      <w:pPr>
        <w:spacing w:after="200" w:line="276" w:lineRule="auto"/>
        <w:jc w:val="both"/>
        <w:rPr>
          <w:rFonts w:ascii="Century Gothic" w:hAnsi="Century Gothic"/>
          <w:sz w:val="22"/>
          <w:szCs w:val="22"/>
        </w:rPr>
      </w:pPr>
      <w:r w:rsidRPr="008D37A2">
        <w:rPr>
          <w:rFonts w:ascii="Century Gothic" w:hAnsi="Century Gothic"/>
          <w:sz w:val="22"/>
          <w:szCs w:val="22"/>
        </w:rPr>
        <w:t>T</w:t>
      </w:r>
      <w:r w:rsidR="00000000" w:rsidRPr="008D37A2">
        <w:rPr>
          <w:rFonts w:ascii="Century Gothic" w:hAnsi="Century Gothic"/>
          <w:sz w:val="22"/>
          <w:szCs w:val="22"/>
        </w:rPr>
        <w:t>he CCPA is built on very broad definitions — where “sale” is not limited to an exchange of money</w:t>
      </w:r>
      <w:r w:rsidRPr="008D37A2">
        <w:rPr>
          <w:rFonts w:ascii="Century Gothic" w:hAnsi="Century Gothic"/>
          <w:sz w:val="22"/>
          <w:szCs w:val="22"/>
        </w:rPr>
        <w:t>, but can include other forms of consideration</w:t>
      </w:r>
      <w:r w:rsidR="00000000" w:rsidRPr="008D37A2">
        <w:rPr>
          <w:rFonts w:ascii="Century Gothic" w:hAnsi="Century Gothic"/>
          <w:sz w:val="22"/>
          <w:szCs w:val="22"/>
        </w:rPr>
        <w:t xml:space="preserve">, and “third party” sweeps in not just data brokers but governmental entities, nonprofits, researchers, and political organizations — a categorical ban on sharing SPI has consequences well beyond its intended target. </w:t>
      </w:r>
      <w:r w:rsidRPr="008D37A2">
        <w:rPr>
          <w:rFonts w:ascii="Century Gothic" w:hAnsi="Century Gothic"/>
          <w:sz w:val="22"/>
          <w:szCs w:val="22"/>
        </w:rPr>
        <w:t>As a result, this bill would significantly alter, if not constrain, several common and lawful business operations and even beneficial uses by other third parties—from business to nonprofits, to researchers, to political organizations, and government entities. Here are some examples:</w:t>
      </w:r>
    </w:p>
    <w:p w14:paraId="063ECA18" w14:textId="29D5B98D" w:rsidR="009E3975" w:rsidRPr="008D37A2" w:rsidRDefault="009E3975" w:rsidP="00C70676">
      <w:pPr>
        <w:numPr>
          <w:ilvl w:val="0"/>
          <w:numId w:val="2"/>
        </w:numPr>
        <w:spacing w:after="200" w:line="276" w:lineRule="auto"/>
        <w:jc w:val="both"/>
        <w:rPr>
          <w:rFonts w:ascii="Century Gothic" w:hAnsi="Century Gothic"/>
          <w:sz w:val="22"/>
          <w:szCs w:val="22"/>
        </w:rPr>
      </w:pPr>
      <w:r w:rsidRPr="008D37A2">
        <w:rPr>
          <w:rFonts w:ascii="Century Gothic" w:hAnsi="Century Gothic"/>
          <w:b/>
          <w:bCs/>
          <w:sz w:val="22"/>
          <w:szCs w:val="22"/>
        </w:rPr>
        <w:t>Emergency-response data sharing</w:t>
      </w:r>
      <w:r w:rsidRPr="008D37A2">
        <w:rPr>
          <w:rFonts w:ascii="Century Gothic" w:hAnsi="Century Gothic"/>
          <w:sz w:val="22"/>
          <w:szCs w:val="22"/>
        </w:rPr>
        <w:t xml:space="preserve">: Notably, organizations responding to disasters or coordinating relief efforts often rely on SPI, such as geolocation or household data, to allocate resources efficiently and reach those in need. For example, telecom providers, technology platforms, utilities or others may supply data to public authorities and relief organizations to help map population displacement, </w:t>
      </w:r>
      <w:r w:rsidRPr="008D37A2">
        <w:rPr>
          <w:rFonts w:ascii="Century Gothic" w:hAnsi="Century Gothic"/>
          <w:sz w:val="22"/>
          <w:szCs w:val="22"/>
        </w:rPr>
        <w:lastRenderedPageBreak/>
        <w:t xml:space="preserve">prioritize aid delivery, identify vulnerable households and support emergency response, subject to safeguards. Under </w:t>
      </w:r>
      <w:r w:rsidRPr="008D37A2">
        <w:rPr>
          <w:rFonts w:ascii="Century Gothic" w:hAnsi="Century Gothic"/>
          <w:b/>
          <w:bCs/>
          <w:sz w:val="22"/>
          <w:szCs w:val="22"/>
        </w:rPr>
        <w:t>AB 1542’s</w:t>
      </w:r>
      <w:r w:rsidRPr="008D37A2">
        <w:rPr>
          <w:rFonts w:ascii="Century Gothic" w:hAnsi="Century Gothic"/>
          <w:sz w:val="22"/>
          <w:szCs w:val="22"/>
        </w:rPr>
        <w:t xml:space="preserve"> categorical prohibition, businesses are likely to be restricted from providing this information to some extent, potentially impeding timely relief, limiting the effectiveness of resource allocation, or requiring complex contractual arrangements that are impractical in emergency situations. </w:t>
      </w:r>
      <w:r w:rsidRPr="008D37A2">
        <w:rPr>
          <w:rFonts w:ascii="Century Gothic" w:hAnsi="Century Gothic"/>
          <w:b/>
          <w:bCs/>
          <w:sz w:val="22"/>
          <w:szCs w:val="22"/>
        </w:rPr>
        <w:t>AB 1542</w:t>
      </w:r>
      <w:r w:rsidRPr="008D37A2">
        <w:rPr>
          <w:rFonts w:ascii="Century Gothic" w:hAnsi="Century Gothic"/>
          <w:sz w:val="22"/>
          <w:szCs w:val="22"/>
        </w:rPr>
        <w:t xml:space="preserve"> could also prevent a business from transmitting precise geolocation data to first responders after a car crash, even if the customer would have consented to exactly that disclosure.     </w:t>
      </w:r>
      <w:r w:rsidRPr="008D37A2">
        <w:rPr>
          <w:rFonts w:ascii="Century Gothic" w:hAnsi="Century Gothic"/>
          <w:b/>
          <w:bCs/>
          <w:sz w:val="22"/>
          <w:szCs w:val="22"/>
        </w:rPr>
        <w:t xml:space="preserve"> </w:t>
      </w:r>
    </w:p>
    <w:p w14:paraId="2FEDFF43" w14:textId="0460F48D" w:rsidR="009E3975" w:rsidRPr="008D37A2" w:rsidRDefault="009E3975" w:rsidP="00C70676">
      <w:pPr>
        <w:numPr>
          <w:ilvl w:val="0"/>
          <w:numId w:val="2"/>
        </w:numPr>
        <w:spacing w:after="200" w:line="276" w:lineRule="auto"/>
        <w:jc w:val="both"/>
        <w:rPr>
          <w:rFonts w:ascii="Century Gothic" w:hAnsi="Century Gothic"/>
          <w:sz w:val="22"/>
          <w:szCs w:val="22"/>
        </w:rPr>
      </w:pPr>
      <w:r w:rsidRPr="008D37A2">
        <w:rPr>
          <w:rFonts w:ascii="Century Gothic" w:hAnsi="Century Gothic"/>
          <w:b/>
          <w:bCs/>
          <w:sz w:val="22"/>
          <w:szCs w:val="22"/>
        </w:rPr>
        <w:t xml:space="preserve">Fraud detection and consumer services. </w:t>
      </w:r>
      <w:r w:rsidRPr="008D37A2">
        <w:rPr>
          <w:rFonts w:ascii="Century Gothic" w:hAnsi="Century Gothic"/>
          <w:sz w:val="22"/>
          <w:szCs w:val="22"/>
        </w:rPr>
        <w:t xml:space="preserve">Many consumer-facing services rely on the ability to share SPI such as precise geolocation or device level signals across multiple independent entities, rather than within a single business-to service provider relationship. For example, fraud prevention tools often rely on signals observed across multiple merchants to detect coordinated attacks and prevent account takeovers. Smaller merchants often use third-party networks to verify government-issued identifiers, analyze transaction patterns across multiple businesses, or detect fraudulent activity they could not identify on their own. Location-based services depend on third party data inputs to provide accurate, real-time recommendations and navigation. Smaller entities often rely on third-party platforms that use data such as geolocation to reach local customers. Because these use cases inherently involve data sharing across multiple independent entities, they may not fit neatly within service provider or contractor relationships. To the extent </w:t>
      </w:r>
      <w:r w:rsidRPr="008D37A2">
        <w:rPr>
          <w:rFonts w:ascii="Century Gothic" w:hAnsi="Century Gothic"/>
          <w:b/>
          <w:bCs/>
          <w:sz w:val="22"/>
          <w:szCs w:val="22"/>
        </w:rPr>
        <w:t>AB 1542</w:t>
      </w:r>
      <w:r w:rsidRPr="008D37A2">
        <w:rPr>
          <w:rFonts w:ascii="Century Gothic" w:hAnsi="Century Gothic"/>
          <w:sz w:val="22"/>
          <w:szCs w:val="22"/>
        </w:rPr>
        <w:t xml:space="preserve"> restricts such third party sharing of SPI without clear exceptions, those widely used consumer services could become less effective, leading to increased fraud, reduced service, or diminished real-time responsiveness for consumers.</w:t>
      </w:r>
    </w:p>
    <w:p w14:paraId="64FC41CD" w14:textId="201292DE" w:rsidR="009E3975" w:rsidRPr="008D37A2" w:rsidRDefault="009E3975" w:rsidP="00C70676">
      <w:pPr>
        <w:pStyle w:val="ListParagraph"/>
        <w:numPr>
          <w:ilvl w:val="0"/>
          <w:numId w:val="2"/>
        </w:numPr>
        <w:spacing w:line="276" w:lineRule="auto"/>
        <w:jc w:val="both"/>
        <w:rPr>
          <w:rFonts w:ascii="Century Gothic" w:hAnsi="Century Gothic"/>
          <w:sz w:val="22"/>
          <w:szCs w:val="22"/>
        </w:rPr>
      </w:pPr>
      <w:r w:rsidRPr="008D37A2">
        <w:rPr>
          <w:rFonts w:ascii="Century Gothic" w:hAnsi="Century Gothic"/>
          <w:b/>
          <w:bCs/>
          <w:sz w:val="22"/>
          <w:szCs w:val="22"/>
        </w:rPr>
        <w:t>Government risk management.</w:t>
      </w:r>
      <w:r w:rsidRPr="008D37A2">
        <w:rPr>
          <w:rFonts w:ascii="Century Gothic" w:hAnsi="Century Gothic"/>
          <w:sz w:val="22"/>
          <w:szCs w:val="22"/>
        </w:rPr>
        <w:t xml:space="preserve"> Businesses and certain government entities frequently rely on third-party services to enhance their internal data, </w:t>
      </w:r>
      <w:proofErr w:type="gramStart"/>
      <w:r w:rsidRPr="008D37A2">
        <w:rPr>
          <w:rFonts w:ascii="Century Gothic" w:hAnsi="Century Gothic"/>
          <w:sz w:val="22"/>
          <w:szCs w:val="22"/>
        </w:rPr>
        <w:t>including for</w:t>
      </w:r>
      <w:proofErr w:type="gramEnd"/>
      <w:r w:rsidRPr="008D37A2">
        <w:rPr>
          <w:rFonts w:ascii="Century Gothic" w:hAnsi="Century Gothic"/>
          <w:sz w:val="22"/>
          <w:szCs w:val="22"/>
        </w:rPr>
        <w:t xml:space="preserve"> risk assessment and compliance with regulations such as Anti-Money Laundering (AML) or Know Your Customer (KYC). Similarly, government contractors or verification vendors may rely on shared SPI to ensure public program integrity, prevent fraud, and confirm that benefits reach intended recipients. By restricting the ability to share SPI with third-party risk and security services, </w:t>
      </w:r>
      <w:r w:rsidRPr="008D37A2">
        <w:rPr>
          <w:rFonts w:ascii="Century Gothic" w:hAnsi="Century Gothic"/>
          <w:b/>
          <w:bCs/>
          <w:sz w:val="22"/>
          <w:szCs w:val="22"/>
        </w:rPr>
        <w:t>AB 1542</w:t>
      </w:r>
      <w:r w:rsidRPr="008D37A2">
        <w:rPr>
          <w:rFonts w:ascii="Century Gothic" w:hAnsi="Century Gothic"/>
          <w:sz w:val="22"/>
          <w:szCs w:val="22"/>
        </w:rPr>
        <w:t xml:space="preserve"> could leave government programs more exposed to identity theft, account abuse, operational disruption, or verification gaps. </w:t>
      </w:r>
    </w:p>
    <w:p w14:paraId="2B1B3AC5" w14:textId="77777777" w:rsidR="009E3975" w:rsidRPr="008D37A2" w:rsidRDefault="009E3975" w:rsidP="00C70676">
      <w:pPr>
        <w:pStyle w:val="ListParagraph"/>
        <w:spacing w:line="276" w:lineRule="auto"/>
        <w:ind w:left="720"/>
        <w:jc w:val="both"/>
        <w:rPr>
          <w:rFonts w:ascii="Century Gothic" w:hAnsi="Century Gothic"/>
          <w:sz w:val="22"/>
          <w:szCs w:val="22"/>
        </w:rPr>
      </w:pPr>
      <w:r w:rsidRPr="008D37A2">
        <w:rPr>
          <w:rFonts w:ascii="Century Gothic" w:hAnsi="Century Gothic"/>
          <w:b/>
          <w:bCs/>
          <w:sz w:val="22"/>
          <w:szCs w:val="22"/>
        </w:rPr>
        <w:t xml:space="preserve"> </w:t>
      </w:r>
    </w:p>
    <w:p w14:paraId="02BA8ED9" w14:textId="7E80C705" w:rsidR="009E3975" w:rsidRPr="008D37A2" w:rsidRDefault="009E3975" w:rsidP="00C70676">
      <w:pPr>
        <w:pStyle w:val="NoSpacing"/>
        <w:numPr>
          <w:ilvl w:val="0"/>
          <w:numId w:val="2"/>
        </w:numPr>
        <w:spacing w:after="240" w:line="276" w:lineRule="auto"/>
        <w:jc w:val="both"/>
        <w:rPr>
          <w:rFonts w:ascii="Century Gothic" w:hAnsi="Century Gothic" w:cs="Helvetica"/>
        </w:rPr>
      </w:pPr>
      <w:r w:rsidRPr="008D37A2">
        <w:rPr>
          <w:rFonts w:ascii="Century Gothic" w:hAnsi="Century Gothic" w:cs="Times New Roman"/>
          <w:b/>
          <w:bCs/>
        </w:rPr>
        <w:t>Independent advertising measurement for small businesses.</w:t>
      </w:r>
      <w:r w:rsidRPr="008D37A2">
        <w:rPr>
          <w:rFonts w:ascii="Century Gothic" w:hAnsi="Century Gothic"/>
          <w:b/>
          <w:bCs/>
        </w:rPr>
        <w:t xml:space="preserve"> </w:t>
      </w:r>
      <w:r w:rsidRPr="008D37A2">
        <w:rPr>
          <w:rFonts w:ascii="Century Gothic" w:eastAsia="Times New Roman" w:hAnsi="Century Gothic" w:cs="Times New Roman"/>
        </w:rPr>
        <w:t xml:space="preserve">Businesses and other entities often depend on neutral, third-party providers to measure the effectiveness of advertising or other initiatives, whether for commercial or political purposes. For instance, a small local clothing store runs an online ad and wants to know, “Did people who saw this ad actually walk into my store?” To do this, the store may use an independent provider to determine whether a digital advertising </w:t>
      </w:r>
      <w:r w:rsidRPr="008D37A2">
        <w:rPr>
          <w:rFonts w:ascii="Century Gothic" w:eastAsia="Times New Roman" w:hAnsi="Century Gothic" w:cs="Times New Roman"/>
        </w:rPr>
        <w:lastRenderedPageBreak/>
        <w:t xml:space="preserve">campaign resulted in in-store visits using precise geolocation signals, comparing the people who saw the ad with the people who physically visited the shop using precise geolocation signals. Under </w:t>
      </w:r>
      <w:r w:rsidRPr="008D37A2">
        <w:rPr>
          <w:rFonts w:ascii="Century Gothic" w:eastAsia="Times New Roman" w:hAnsi="Century Gothic" w:cs="Times New Roman"/>
          <w:b/>
          <w:bCs/>
        </w:rPr>
        <w:t>AB 1542</w:t>
      </w:r>
      <w:r w:rsidRPr="008D37A2">
        <w:rPr>
          <w:rFonts w:ascii="Century Gothic" w:eastAsia="Times New Roman" w:hAnsi="Century Gothic" w:cs="Times New Roman"/>
        </w:rPr>
        <w:t xml:space="preserve">, if that provider is considered a third party, the use of SPI for this purpose would be restricted, effectively ending independent verification. For small and medium-sized businesses, this is particularly problematic, as they are forced to rely on the self-reported metrics of the </w:t>
      </w:r>
      <w:proofErr w:type="gramStart"/>
      <w:r w:rsidRPr="008D37A2">
        <w:rPr>
          <w:rFonts w:ascii="Century Gothic" w:eastAsia="Times New Roman" w:hAnsi="Century Gothic" w:cs="Times New Roman"/>
        </w:rPr>
        <w:t>platforms</w:t>
      </w:r>
      <w:proofErr w:type="gramEnd"/>
      <w:r w:rsidRPr="008D37A2">
        <w:rPr>
          <w:rFonts w:ascii="Century Gothic" w:eastAsia="Times New Roman" w:hAnsi="Century Gothic" w:cs="Times New Roman"/>
        </w:rPr>
        <w:t xml:space="preserve"> they place ads with and have small ad-spend to begin with if they get it wrong. It is easy to </w:t>
      </w:r>
      <w:proofErr w:type="gramStart"/>
      <w:r w:rsidRPr="008D37A2">
        <w:rPr>
          <w:rFonts w:ascii="Century Gothic" w:eastAsia="Times New Roman" w:hAnsi="Century Gothic" w:cs="Times New Roman"/>
        </w:rPr>
        <w:t>envision</w:t>
      </w:r>
      <w:proofErr w:type="gramEnd"/>
      <w:r w:rsidRPr="008D37A2">
        <w:rPr>
          <w:rFonts w:ascii="Century Gothic" w:eastAsia="Times New Roman" w:hAnsi="Century Gothic" w:cs="Times New Roman"/>
        </w:rPr>
        <w:t xml:space="preserve"> this also being very problematic in other contexts, such as political campaigns.</w:t>
      </w:r>
    </w:p>
    <w:p w14:paraId="5CC6AA2B" w14:textId="2F206E68" w:rsidR="009E3975" w:rsidRPr="008D37A2" w:rsidRDefault="009E3975" w:rsidP="00C70676">
      <w:pPr>
        <w:numPr>
          <w:ilvl w:val="0"/>
          <w:numId w:val="2"/>
        </w:numPr>
        <w:spacing w:after="200" w:line="276" w:lineRule="auto"/>
        <w:jc w:val="both"/>
        <w:rPr>
          <w:rFonts w:ascii="Century Gothic" w:hAnsi="Century Gothic"/>
          <w:sz w:val="22"/>
          <w:szCs w:val="22"/>
        </w:rPr>
      </w:pPr>
      <w:r w:rsidRPr="008D37A2">
        <w:rPr>
          <w:rFonts w:ascii="Century Gothic" w:hAnsi="Century Gothic"/>
          <w:b/>
          <w:bCs/>
          <w:sz w:val="22"/>
          <w:szCs w:val="22"/>
        </w:rPr>
        <w:t>Implications for socially beneficial third-party uses</w:t>
      </w:r>
      <w:r w:rsidRPr="008D37A2">
        <w:rPr>
          <w:rFonts w:ascii="Century Gothic" w:hAnsi="Century Gothic"/>
          <w:sz w:val="22"/>
          <w:szCs w:val="22"/>
        </w:rPr>
        <w:t xml:space="preserve">. </w:t>
      </w:r>
      <w:r w:rsidRPr="008D37A2">
        <w:rPr>
          <w:rFonts w:ascii="Century Gothic" w:hAnsi="Century Gothic"/>
          <w:b/>
          <w:bCs/>
          <w:sz w:val="22"/>
          <w:szCs w:val="22"/>
        </w:rPr>
        <w:t>AB 1542</w:t>
      </w:r>
      <w:r w:rsidRPr="008D37A2">
        <w:rPr>
          <w:rFonts w:ascii="Century Gothic" w:hAnsi="Century Gothic"/>
          <w:sz w:val="22"/>
          <w:szCs w:val="22"/>
        </w:rPr>
        <w:t xml:space="preserve"> does not distinguish between commercial and socially beneficial uses of SPI. For example, it does not provide clear exceptions for the public interest, or academic or research purposes. As a result, nonprofit organizations, academic researchers, and political or community groups could face limitations from receiving SPI, even when their work benefits the public. </w:t>
      </w:r>
    </w:p>
    <w:p w14:paraId="4C7B152D" w14:textId="77777777" w:rsidR="009E3975" w:rsidRPr="008D37A2" w:rsidRDefault="009E3975" w:rsidP="00C70676">
      <w:pPr>
        <w:numPr>
          <w:ilvl w:val="1"/>
          <w:numId w:val="2"/>
        </w:numPr>
        <w:spacing w:after="200" w:line="276" w:lineRule="auto"/>
        <w:jc w:val="both"/>
        <w:rPr>
          <w:rFonts w:ascii="Century Gothic" w:hAnsi="Century Gothic"/>
          <w:sz w:val="22"/>
          <w:szCs w:val="22"/>
        </w:rPr>
      </w:pPr>
      <w:r w:rsidRPr="008D37A2">
        <w:rPr>
          <w:rFonts w:ascii="Century Gothic" w:hAnsi="Century Gothic"/>
          <w:b/>
          <w:bCs/>
          <w:sz w:val="22"/>
          <w:szCs w:val="22"/>
        </w:rPr>
        <w:t xml:space="preserve">Public health research: </w:t>
      </w:r>
      <w:r w:rsidRPr="008D37A2">
        <w:rPr>
          <w:rFonts w:ascii="Century Gothic" w:hAnsi="Century Gothic"/>
          <w:sz w:val="22"/>
          <w:szCs w:val="22"/>
        </w:rPr>
        <w:t xml:space="preserve">nonprofits or universities tracking vaccination coverage or </w:t>
      </w:r>
      <w:r w:rsidRPr="008D37A2">
        <w:rPr>
          <w:rFonts w:ascii="Century Gothic" w:hAnsi="Century Gothic"/>
          <w:sz w:val="22"/>
          <w:szCs w:val="22"/>
        </w:rPr>
        <w:t xml:space="preserve">disease outbreaks could face limits on access to precise geolocation or other sensitive data, which may limit their ability to generate timely insights. </w:t>
      </w:r>
    </w:p>
    <w:p w14:paraId="54EAAA13" w14:textId="1E2D9F30" w:rsidR="009E3975" w:rsidRPr="008D37A2" w:rsidRDefault="009E3975" w:rsidP="00C70676">
      <w:pPr>
        <w:numPr>
          <w:ilvl w:val="1"/>
          <w:numId w:val="2"/>
        </w:numPr>
        <w:spacing w:after="200" w:line="276" w:lineRule="auto"/>
        <w:jc w:val="both"/>
        <w:rPr>
          <w:rFonts w:ascii="Century Gothic" w:hAnsi="Century Gothic"/>
          <w:sz w:val="22"/>
          <w:szCs w:val="22"/>
        </w:rPr>
      </w:pPr>
      <w:r w:rsidRPr="008D37A2">
        <w:rPr>
          <w:rFonts w:ascii="Century Gothic" w:hAnsi="Century Gothic"/>
          <w:b/>
          <w:bCs/>
          <w:sz w:val="22"/>
          <w:szCs w:val="22"/>
        </w:rPr>
        <w:t>Community and political engagement:</w:t>
      </w:r>
      <w:r w:rsidRPr="008D37A2">
        <w:rPr>
          <w:rFonts w:ascii="Century Gothic" w:hAnsi="Century Gothic"/>
          <w:sz w:val="22"/>
          <w:szCs w:val="22"/>
        </w:rPr>
        <w:t xml:space="preserve"> local advocacy and voter outreach groups could be limited </w:t>
      </w:r>
      <w:proofErr w:type="gramStart"/>
      <w:r w:rsidRPr="008D37A2">
        <w:rPr>
          <w:rFonts w:ascii="Century Gothic" w:hAnsi="Century Gothic"/>
          <w:sz w:val="22"/>
          <w:szCs w:val="22"/>
        </w:rPr>
        <w:t>from</w:t>
      </w:r>
      <w:proofErr w:type="gramEnd"/>
      <w:r w:rsidRPr="008D37A2">
        <w:rPr>
          <w:rFonts w:ascii="Century Gothic" w:hAnsi="Century Gothic"/>
          <w:sz w:val="22"/>
          <w:szCs w:val="22"/>
        </w:rPr>
        <w:t xml:space="preserve"> targeting constituents in specific areas or evaluating how their ad placements are performing, which may reduce the efficacy of outreach and engagement programs. This is particularly true for those community groups and organizations focused on health and social issues, including affinity groups and support groups relating to health and sexual identity, immigration or civil rights organizations, or religious organizations, which currently rely on information deemed SPI.</w:t>
      </w:r>
    </w:p>
    <w:p w14:paraId="30952BA7" w14:textId="182FA9F9" w:rsidR="00167E05" w:rsidRPr="008D37A2" w:rsidRDefault="009E3975" w:rsidP="00C70676">
      <w:pPr>
        <w:spacing w:after="200" w:line="276" w:lineRule="auto"/>
        <w:jc w:val="both"/>
        <w:rPr>
          <w:rFonts w:ascii="Century Gothic" w:hAnsi="Century Gothic"/>
        </w:rPr>
      </w:pPr>
      <w:r w:rsidRPr="008D37A2">
        <w:rPr>
          <w:rFonts w:ascii="Century Gothic" w:hAnsi="Century Gothic"/>
          <w:sz w:val="22"/>
          <w:szCs w:val="22"/>
        </w:rPr>
        <w:t xml:space="preserve">Finally, </w:t>
      </w:r>
      <w:r w:rsidRPr="008D37A2">
        <w:rPr>
          <w:rFonts w:ascii="Century Gothic" w:hAnsi="Century Gothic"/>
          <w:b/>
          <w:bCs/>
          <w:sz w:val="22"/>
          <w:szCs w:val="22"/>
        </w:rPr>
        <w:t>AB 1542</w:t>
      </w:r>
      <w:r w:rsidRPr="008D37A2">
        <w:rPr>
          <w:rFonts w:ascii="Century Gothic" w:hAnsi="Century Gothic"/>
          <w:sz w:val="22"/>
          <w:szCs w:val="22"/>
        </w:rPr>
        <w:t xml:space="preserve"> </w:t>
      </w:r>
      <w:r w:rsidR="00000000" w:rsidRPr="008D37A2">
        <w:rPr>
          <w:rFonts w:ascii="Century Gothic" w:hAnsi="Century Gothic"/>
          <w:sz w:val="22"/>
          <w:szCs w:val="22"/>
        </w:rPr>
        <w:t>risks sweeping in routine, lawful data-sharing practices that underpin everyday internet operations: cloud storage, basic website functionality, and processing carried out under standard data-processing agreements.</w:t>
      </w:r>
    </w:p>
    <w:p w14:paraId="65B86175" w14:textId="77777777" w:rsidR="00167E05" w:rsidRPr="008D37A2" w:rsidRDefault="00000000" w:rsidP="00C70676">
      <w:pPr>
        <w:spacing w:after="200" w:line="276" w:lineRule="auto"/>
        <w:jc w:val="both"/>
        <w:rPr>
          <w:rFonts w:ascii="Century Gothic" w:hAnsi="Century Gothic"/>
        </w:rPr>
      </w:pPr>
      <w:r w:rsidRPr="008D37A2">
        <w:rPr>
          <w:rFonts w:ascii="Century Gothic" w:hAnsi="Century Gothic"/>
          <w:b/>
          <w:bCs/>
          <w:sz w:val="22"/>
          <w:szCs w:val="22"/>
        </w:rPr>
        <w:t>Narrower, More Targeted Approaches Already Exist</w:t>
      </w:r>
    </w:p>
    <w:p w14:paraId="6D7FC3C1" w14:textId="3C8934A3" w:rsidR="00167E05" w:rsidRPr="008D37A2" w:rsidRDefault="00000000" w:rsidP="00C70676">
      <w:pPr>
        <w:spacing w:after="200" w:line="276" w:lineRule="auto"/>
        <w:jc w:val="both"/>
        <w:rPr>
          <w:rFonts w:ascii="Century Gothic" w:hAnsi="Century Gothic"/>
        </w:rPr>
      </w:pPr>
      <w:r w:rsidRPr="008D37A2">
        <w:rPr>
          <w:rFonts w:ascii="Century Gothic" w:hAnsi="Century Gothic"/>
          <w:b/>
          <w:bCs/>
          <w:sz w:val="22"/>
          <w:szCs w:val="22"/>
        </w:rPr>
        <w:t>AB 1542</w:t>
      </w:r>
      <w:r w:rsidRPr="008D37A2">
        <w:rPr>
          <w:rFonts w:ascii="Century Gothic" w:hAnsi="Century Gothic"/>
          <w:sz w:val="22"/>
          <w:szCs w:val="22"/>
        </w:rPr>
        <w:t xml:space="preserve"> is not the only tool available to strengthen protections for </w:t>
      </w:r>
      <w:r w:rsidR="009E3975" w:rsidRPr="008D37A2">
        <w:rPr>
          <w:rFonts w:ascii="Century Gothic" w:hAnsi="Century Gothic"/>
          <w:sz w:val="22"/>
          <w:szCs w:val="22"/>
        </w:rPr>
        <w:t>SPI</w:t>
      </w:r>
      <w:r w:rsidRPr="008D37A2">
        <w:rPr>
          <w:rFonts w:ascii="Century Gothic" w:hAnsi="Century Gothic"/>
          <w:sz w:val="22"/>
          <w:szCs w:val="22"/>
        </w:rPr>
        <w:t xml:space="preserve">, and it is not the approach the Legislature has taken when it has identified </w:t>
      </w:r>
      <w:proofErr w:type="gramStart"/>
      <w:r w:rsidRPr="008D37A2">
        <w:rPr>
          <w:rFonts w:ascii="Century Gothic" w:hAnsi="Century Gothic"/>
          <w:sz w:val="22"/>
          <w:szCs w:val="22"/>
        </w:rPr>
        <w:t>a specific</w:t>
      </w:r>
      <w:proofErr w:type="gramEnd"/>
      <w:r w:rsidRPr="008D37A2">
        <w:rPr>
          <w:rFonts w:ascii="Century Gothic" w:hAnsi="Century Gothic"/>
          <w:sz w:val="22"/>
          <w:szCs w:val="22"/>
        </w:rPr>
        <w:t xml:space="preserve">, well-defined harm in this space. In 2023, AB 1194 (Carrillo) amended the CCPA narrowly and precisely — limiting the exemption that allowed disclosure of reproductive-health-related personal information to law enforcement — without disturbing the CCPA's broader right-to-limit framework. That approach shows a categorical, economy-wide ban is not necessary to </w:t>
      </w:r>
      <w:r w:rsidRPr="008D37A2">
        <w:rPr>
          <w:rFonts w:ascii="Century Gothic" w:hAnsi="Century Gothic"/>
          <w:sz w:val="22"/>
          <w:szCs w:val="22"/>
        </w:rPr>
        <w:lastRenderedPageBreak/>
        <w:t>address a specific privacy concern</w:t>
      </w:r>
      <w:r w:rsidR="00E35A9B" w:rsidRPr="008D37A2">
        <w:rPr>
          <w:rFonts w:ascii="Century Gothic" w:hAnsi="Century Gothic"/>
          <w:sz w:val="22"/>
          <w:szCs w:val="22"/>
        </w:rPr>
        <w:t xml:space="preserve">. </w:t>
      </w:r>
      <w:r w:rsidR="00E35A9B" w:rsidRPr="008D37A2">
        <w:rPr>
          <w:rFonts w:ascii="Century Gothic" w:hAnsi="Century Gothic"/>
          <w:b/>
          <w:bCs/>
          <w:sz w:val="22"/>
          <w:szCs w:val="22"/>
        </w:rPr>
        <w:t>I</w:t>
      </w:r>
      <w:r w:rsidRPr="008D37A2">
        <w:rPr>
          <w:rFonts w:ascii="Century Gothic" w:hAnsi="Century Gothic"/>
          <w:b/>
          <w:bCs/>
          <w:sz w:val="22"/>
          <w:szCs w:val="22"/>
        </w:rPr>
        <w:t>t is the kind of narrowly tailored fix that should guide this policy area going forward, rather than a blanket prohibition that reaches routine security practices, emergency response, public-interest research, and small-business advertising alike.</w:t>
      </w:r>
    </w:p>
    <w:p w14:paraId="5985C5C9" w14:textId="77777777" w:rsidR="00167E05" w:rsidRPr="008D37A2" w:rsidRDefault="00000000" w:rsidP="00C70676">
      <w:pPr>
        <w:spacing w:after="200" w:line="276" w:lineRule="auto"/>
        <w:jc w:val="both"/>
        <w:rPr>
          <w:rFonts w:ascii="Century Gothic" w:hAnsi="Century Gothic"/>
        </w:rPr>
      </w:pPr>
      <w:r w:rsidRPr="008D37A2">
        <w:rPr>
          <w:rFonts w:ascii="Century Gothic" w:hAnsi="Century Gothic"/>
          <w:b/>
          <w:bCs/>
          <w:sz w:val="22"/>
          <w:szCs w:val="22"/>
        </w:rPr>
        <w:t>Conclusion</w:t>
      </w:r>
    </w:p>
    <w:p w14:paraId="7C01A7D4" w14:textId="07BD2C0C" w:rsidR="00167E05" w:rsidRPr="008D37A2" w:rsidRDefault="00000000" w:rsidP="00C70676">
      <w:pPr>
        <w:spacing w:after="200" w:line="276" w:lineRule="auto"/>
        <w:jc w:val="both"/>
        <w:rPr>
          <w:rFonts w:ascii="Century Gothic" w:hAnsi="Century Gothic"/>
        </w:rPr>
      </w:pPr>
      <w:r w:rsidRPr="008D37A2">
        <w:rPr>
          <w:rFonts w:ascii="Century Gothic" w:hAnsi="Century Gothic"/>
          <w:b/>
          <w:bCs/>
          <w:sz w:val="22"/>
          <w:szCs w:val="22"/>
        </w:rPr>
        <w:t>AB 1542</w:t>
      </w:r>
      <w:r w:rsidRPr="008D37A2">
        <w:rPr>
          <w:rFonts w:ascii="Century Gothic" w:hAnsi="Century Gothic"/>
          <w:sz w:val="22"/>
          <w:szCs w:val="22"/>
        </w:rPr>
        <w:t xml:space="preserve"> would take California privacy law in the wrong direction — trading the consumer choice at the heart of the CCPA and Proposition 24 for a categorical prohibition that carries serious safety, security, and economic consequences, while leaving a more balanced opt-in alternative unexplored. We raised these concerns at </w:t>
      </w:r>
      <w:r w:rsidR="00843C6F" w:rsidRPr="008D37A2">
        <w:rPr>
          <w:rFonts w:ascii="Century Gothic" w:hAnsi="Century Gothic"/>
          <w:sz w:val="22"/>
          <w:szCs w:val="22"/>
        </w:rPr>
        <w:t>each</w:t>
      </w:r>
      <w:r w:rsidRPr="008D37A2">
        <w:rPr>
          <w:rFonts w:ascii="Century Gothic" w:hAnsi="Century Gothic"/>
          <w:sz w:val="22"/>
          <w:szCs w:val="22"/>
        </w:rPr>
        <w:t xml:space="preserve"> hearing and again after the June 25 amendment</w:t>
      </w:r>
      <w:r w:rsidR="00E35A9B" w:rsidRPr="008D37A2">
        <w:rPr>
          <w:rFonts w:ascii="Century Gothic" w:hAnsi="Century Gothic"/>
          <w:sz w:val="22"/>
          <w:szCs w:val="22"/>
        </w:rPr>
        <w:t>s</w:t>
      </w:r>
      <w:r w:rsidRPr="008D37A2">
        <w:rPr>
          <w:rFonts w:ascii="Century Gothic" w:hAnsi="Century Gothic"/>
          <w:sz w:val="22"/>
          <w:szCs w:val="22"/>
        </w:rPr>
        <w:t xml:space="preserve">, </w:t>
      </w:r>
      <w:r w:rsidR="00E35A9B" w:rsidRPr="008D37A2">
        <w:rPr>
          <w:rFonts w:ascii="Century Gothic" w:hAnsi="Century Gothic"/>
          <w:sz w:val="22"/>
          <w:szCs w:val="22"/>
        </w:rPr>
        <w:t xml:space="preserve">yet </w:t>
      </w:r>
      <w:r w:rsidRPr="008D37A2">
        <w:rPr>
          <w:rFonts w:ascii="Century Gothic" w:hAnsi="Century Gothic"/>
          <w:sz w:val="22"/>
          <w:szCs w:val="22"/>
        </w:rPr>
        <w:t>the bill</w:t>
      </w:r>
      <w:r w:rsidR="00843C6F" w:rsidRPr="008D37A2">
        <w:rPr>
          <w:rFonts w:ascii="Century Gothic" w:hAnsi="Century Gothic"/>
          <w:sz w:val="22"/>
          <w:szCs w:val="22"/>
        </w:rPr>
        <w:t>’</w:t>
      </w:r>
      <w:r w:rsidRPr="008D37A2">
        <w:rPr>
          <w:rFonts w:ascii="Century Gothic" w:hAnsi="Century Gothic"/>
          <w:sz w:val="22"/>
          <w:szCs w:val="22"/>
        </w:rPr>
        <w:t xml:space="preserve">s core defect remains unaddressed. For these reasons, we respectfully request your </w:t>
      </w:r>
      <w:proofErr w:type="gramStart"/>
      <w:r w:rsidRPr="008D37A2">
        <w:rPr>
          <w:rFonts w:ascii="Century Gothic" w:hAnsi="Century Gothic"/>
          <w:sz w:val="22"/>
          <w:szCs w:val="22"/>
        </w:rPr>
        <w:t>veto</w:t>
      </w:r>
      <w:proofErr w:type="gramEnd"/>
      <w:r w:rsidRPr="008D37A2">
        <w:rPr>
          <w:rFonts w:ascii="Century Gothic" w:hAnsi="Century Gothic"/>
          <w:sz w:val="22"/>
          <w:szCs w:val="22"/>
        </w:rPr>
        <w:t xml:space="preserve"> of </w:t>
      </w:r>
      <w:r w:rsidRPr="008D37A2">
        <w:rPr>
          <w:rFonts w:ascii="Century Gothic" w:hAnsi="Century Gothic"/>
          <w:b/>
          <w:bCs/>
          <w:sz w:val="22"/>
          <w:szCs w:val="22"/>
        </w:rPr>
        <w:t>AB 1542</w:t>
      </w:r>
      <w:r w:rsidRPr="008D37A2">
        <w:rPr>
          <w:rFonts w:ascii="Century Gothic" w:hAnsi="Century Gothic"/>
          <w:sz w:val="22"/>
          <w:szCs w:val="22"/>
        </w:rPr>
        <w:t>. We would welcome the opportunity to work with the author, the sponsor, and your office on an approach — such as an opt-in requirement for the sale or sharing of sensitive personal information — that strengthens consumer privacy without eliminating consumer choice.</w:t>
      </w:r>
    </w:p>
    <w:p w14:paraId="4AFAAAE0" w14:textId="5D2E6BDA" w:rsidR="00167E05" w:rsidRPr="008D37A2" w:rsidRDefault="00000000" w:rsidP="00911E3E">
      <w:pPr>
        <w:spacing w:after="200" w:line="276" w:lineRule="auto"/>
        <w:rPr>
          <w:rFonts w:ascii="Century Gothic" w:hAnsi="Century Gothic"/>
        </w:rPr>
      </w:pPr>
      <w:r w:rsidRPr="008D37A2">
        <w:rPr>
          <w:rFonts w:ascii="Century Gothic" w:hAnsi="Century Gothic"/>
          <w:sz w:val="22"/>
          <w:szCs w:val="22"/>
        </w:rPr>
        <w:t>Thank you for your consideration.</w:t>
      </w:r>
    </w:p>
    <w:p w14:paraId="0D7A1E02" w14:textId="22A6EAE2" w:rsidR="00167E05" w:rsidRPr="008D37A2" w:rsidRDefault="00B77F91">
      <w:pPr>
        <w:spacing w:after="200" w:line="276" w:lineRule="auto"/>
        <w:rPr>
          <w:rFonts w:ascii="Century Gothic" w:hAnsi="Century Gothic"/>
        </w:rPr>
      </w:pPr>
      <w:r w:rsidRPr="008D37A2">
        <w:rPr>
          <w:rFonts w:ascii="Century Gothic" w:hAnsi="Century Gothic"/>
          <w:noProof/>
        </w:rPr>
        <w:drawing>
          <wp:anchor distT="0" distB="0" distL="114300" distR="114300" simplePos="0" relativeHeight="251659264" behindDoc="1" locked="0" layoutInCell="1" allowOverlap="1" wp14:anchorId="4886AEB4" wp14:editId="788DB4D8">
            <wp:simplePos x="0" y="0"/>
            <wp:positionH relativeFrom="margin">
              <wp:align>left</wp:align>
            </wp:positionH>
            <wp:positionV relativeFrom="paragraph">
              <wp:posOffset>165735</wp:posOffset>
            </wp:positionV>
            <wp:extent cx="1637030" cy="466725"/>
            <wp:effectExtent l="0" t="0" r="1270" b="9525"/>
            <wp:wrapNone/>
            <wp:docPr id="3" name="Picture 3"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nsect&#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854" r="8158" b="21596"/>
                    <a:stretch/>
                  </pic:blipFill>
                  <pic:spPr bwMode="auto">
                    <a:xfrm>
                      <a:off x="0" y="0"/>
                      <a:ext cx="163703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sidRPr="008D37A2">
        <w:rPr>
          <w:rFonts w:ascii="Century Gothic" w:hAnsi="Century Gothic"/>
          <w:sz w:val="22"/>
          <w:szCs w:val="22"/>
        </w:rPr>
        <w:t>Sincerely,</w:t>
      </w:r>
    </w:p>
    <w:p w14:paraId="20DDE2E8" w14:textId="748B64CC" w:rsidR="00167E05" w:rsidRPr="008D37A2" w:rsidRDefault="00167E05">
      <w:pPr>
        <w:rPr>
          <w:rFonts w:ascii="Century Gothic" w:hAnsi="Century Gothic"/>
        </w:rPr>
      </w:pPr>
    </w:p>
    <w:p w14:paraId="7B56B040" w14:textId="77777777" w:rsidR="00167E05" w:rsidRPr="008D37A2" w:rsidRDefault="00167E05">
      <w:pPr>
        <w:rPr>
          <w:rFonts w:ascii="Century Gothic" w:hAnsi="Century Gothic"/>
        </w:rPr>
      </w:pPr>
    </w:p>
    <w:p w14:paraId="47B47C83"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Ronak Daylami</w:t>
      </w:r>
    </w:p>
    <w:p w14:paraId="721991C4"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Vice President for Advocacy | Privacy, Cybersecurity &amp; Emerging Technologies</w:t>
      </w:r>
    </w:p>
    <w:p w14:paraId="59FA06C9" w14:textId="77777777" w:rsidR="00167E05" w:rsidRPr="008D37A2" w:rsidRDefault="00000000" w:rsidP="00314CC4">
      <w:pPr>
        <w:spacing w:line="276" w:lineRule="auto"/>
        <w:rPr>
          <w:rFonts w:ascii="Century Gothic" w:hAnsi="Century Gothic"/>
          <w:sz w:val="22"/>
          <w:szCs w:val="22"/>
        </w:rPr>
      </w:pPr>
      <w:r w:rsidRPr="008D37A2">
        <w:rPr>
          <w:rFonts w:ascii="Century Gothic" w:hAnsi="Century Gothic"/>
          <w:sz w:val="22"/>
          <w:szCs w:val="22"/>
        </w:rPr>
        <w:t>California Chamber of Commerce</w:t>
      </w:r>
    </w:p>
    <w:p w14:paraId="389D29BA" w14:textId="77777777" w:rsidR="00314CC4" w:rsidRPr="008D37A2" w:rsidRDefault="00314CC4" w:rsidP="00314CC4">
      <w:pPr>
        <w:spacing w:line="276" w:lineRule="auto"/>
        <w:rPr>
          <w:rFonts w:ascii="Century Gothic" w:hAnsi="Century Gothic"/>
        </w:rPr>
      </w:pPr>
    </w:p>
    <w:p w14:paraId="67E32D27"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on behalf of:</w:t>
      </w:r>
    </w:p>
    <w:p w14:paraId="11480CBC"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American Property Casualty Association</w:t>
      </w:r>
    </w:p>
    <w:p w14:paraId="141D3A6D"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Association of National Advertisers</w:t>
      </w:r>
    </w:p>
    <w:p w14:paraId="40572EEE"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California Chamber of Commerce</w:t>
      </w:r>
    </w:p>
    <w:p w14:paraId="6BB0374D"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California's Credit Unions</w:t>
      </w:r>
    </w:p>
    <w:p w14:paraId="624672D1"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California Retailers Association</w:t>
      </w:r>
    </w:p>
    <w:p w14:paraId="43AFA0B4"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Civil Justice Association of California</w:t>
      </w:r>
    </w:p>
    <w:p w14:paraId="43B4FEFE"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Computer &amp; Communications Industry Association</w:t>
      </w:r>
    </w:p>
    <w:p w14:paraId="11A73BCE" w14:textId="4FF05DF2" w:rsidR="00167E05" w:rsidRPr="008D37A2" w:rsidRDefault="00000000" w:rsidP="00314CC4">
      <w:pPr>
        <w:spacing w:line="276" w:lineRule="auto"/>
        <w:rPr>
          <w:rFonts w:ascii="Century Gothic" w:hAnsi="Century Gothic"/>
        </w:rPr>
      </w:pPr>
      <w:r w:rsidRPr="008D37A2">
        <w:rPr>
          <w:rFonts w:ascii="Century Gothic" w:hAnsi="Century Gothic"/>
          <w:sz w:val="22"/>
          <w:szCs w:val="22"/>
        </w:rPr>
        <w:t>Internet</w:t>
      </w:r>
      <w:r w:rsidR="00843C6F" w:rsidRPr="008D37A2">
        <w:rPr>
          <w:rFonts w:ascii="Century Gothic" w:hAnsi="Century Gothic"/>
          <w:sz w:val="22"/>
          <w:szCs w:val="22"/>
        </w:rPr>
        <w:t xml:space="preserve"> </w:t>
      </w:r>
      <w:r w:rsidRPr="008D37A2">
        <w:rPr>
          <w:rFonts w:ascii="Century Gothic" w:hAnsi="Century Gothic"/>
          <w:sz w:val="22"/>
          <w:szCs w:val="22"/>
        </w:rPr>
        <w:t>Works</w:t>
      </w:r>
    </w:p>
    <w:p w14:paraId="57AE0608"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Insights Association</w:t>
      </w:r>
    </w:p>
    <w:p w14:paraId="4A2A4396" w14:textId="77777777" w:rsidR="00167E05" w:rsidRPr="008D37A2" w:rsidRDefault="00000000" w:rsidP="00314CC4">
      <w:pPr>
        <w:spacing w:line="276" w:lineRule="auto"/>
        <w:rPr>
          <w:rFonts w:ascii="Century Gothic" w:hAnsi="Century Gothic"/>
        </w:rPr>
      </w:pPr>
      <w:r w:rsidRPr="008D37A2">
        <w:rPr>
          <w:rFonts w:ascii="Century Gothic" w:hAnsi="Century Gothic"/>
          <w:sz w:val="22"/>
          <w:szCs w:val="22"/>
        </w:rPr>
        <w:t>Software Information Industry Association</w:t>
      </w:r>
    </w:p>
    <w:p w14:paraId="558D72CA" w14:textId="16560D7C" w:rsidR="00167E05" w:rsidRPr="008D37A2" w:rsidRDefault="00000000" w:rsidP="000F7776">
      <w:pPr>
        <w:spacing w:line="276" w:lineRule="auto"/>
        <w:rPr>
          <w:rFonts w:ascii="Century Gothic" w:hAnsi="Century Gothic"/>
        </w:rPr>
      </w:pPr>
      <w:r w:rsidRPr="008D37A2">
        <w:rPr>
          <w:rFonts w:ascii="Century Gothic" w:hAnsi="Century Gothic"/>
          <w:sz w:val="22"/>
          <w:szCs w:val="22"/>
        </w:rPr>
        <w:t>TechNet</w:t>
      </w:r>
    </w:p>
    <w:sectPr w:rsidR="00167E05" w:rsidRPr="008D37A2" w:rsidSect="000F7776">
      <w:headerReference w:type="default" r:id="rId13"/>
      <w:type w:val="continuous"/>
      <w:pgSz w:w="12240" w:h="15840"/>
      <w:pgMar w:top="1440" w:right="1440" w:bottom="1152"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0697C" w14:textId="77777777" w:rsidR="00444BC8" w:rsidRDefault="00444BC8" w:rsidP="00E35A9B">
      <w:r>
        <w:separator/>
      </w:r>
    </w:p>
  </w:endnote>
  <w:endnote w:type="continuationSeparator" w:id="0">
    <w:p w14:paraId="235CF8CC" w14:textId="77777777" w:rsidR="00444BC8" w:rsidRDefault="00444BC8" w:rsidP="00E35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DDC80" w14:textId="77777777" w:rsidR="00444BC8" w:rsidRDefault="00444BC8" w:rsidP="00E35A9B">
      <w:r>
        <w:separator/>
      </w:r>
    </w:p>
  </w:footnote>
  <w:footnote w:type="continuationSeparator" w:id="0">
    <w:p w14:paraId="03F0031C" w14:textId="77777777" w:rsidR="00444BC8" w:rsidRDefault="00444BC8" w:rsidP="00E35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2036" w14:textId="77777777" w:rsidR="000F7776" w:rsidRPr="00401F6D" w:rsidRDefault="000F7776" w:rsidP="000F7776">
    <w:pPr>
      <w:pStyle w:val="NoSpacing"/>
      <w:tabs>
        <w:tab w:val="center" w:pos="4680"/>
      </w:tabs>
      <w:rPr>
        <w:rFonts w:ascii="Helvetica" w:hAnsi="Helvetica" w:cs="Helvetica"/>
        <w:sz w:val="20"/>
        <w:szCs w:val="20"/>
      </w:rPr>
    </w:pPr>
    <w:r w:rsidRPr="00E300AA">
      <w:rPr>
        <w:rFonts w:ascii="Helvetica" w:eastAsia="Calibri" w:hAnsi="Helvetica" w:cs="Helvetica"/>
        <w:noProof/>
        <w:sz w:val="20"/>
        <w:szCs w:val="20"/>
      </w:rPr>
      <w:drawing>
        <wp:anchor distT="0" distB="0" distL="114300" distR="114300" simplePos="0" relativeHeight="251667456" behindDoc="0" locked="0" layoutInCell="1" allowOverlap="1" wp14:anchorId="12E090C5" wp14:editId="4C1E92A2">
          <wp:simplePos x="0" y="0"/>
          <wp:positionH relativeFrom="margin">
            <wp:posOffset>4924425</wp:posOffset>
          </wp:positionH>
          <wp:positionV relativeFrom="paragraph">
            <wp:posOffset>-78105</wp:posOffset>
          </wp:positionV>
          <wp:extent cx="1160780" cy="502920"/>
          <wp:effectExtent l="0" t="0" r="1270" b="0"/>
          <wp:wrapNone/>
          <wp:docPr id="1395843691" name="Picture 1395843691" descr="A logo with text and a map&#10;&#10;Description automatically generated">
            <a:extLst xmlns:a="http://schemas.openxmlformats.org/drawingml/2006/main">
              <a:ext uri="{FF2B5EF4-FFF2-40B4-BE49-F238E27FC236}">
                <a16:creationId xmlns:a16="http://schemas.microsoft.com/office/drawing/2014/main" id="{D61166F1-F460-4660-8402-2248C68B8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logo with text and a map&#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78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4BEC2C1D" wp14:editId="3E653784">
          <wp:simplePos x="0" y="0"/>
          <wp:positionH relativeFrom="column">
            <wp:posOffset>3117850</wp:posOffset>
          </wp:positionH>
          <wp:positionV relativeFrom="paragraph">
            <wp:posOffset>-17780</wp:posOffset>
          </wp:positionV>
          <wp:extent cx="1673225" cy="320040"/>
          <wp:effectExtent l="0" t="0" r="3175" b="3810"/>
          <wp:wrapNone/>
          <wp:docPr id="44380373" name="Picture 3">
            <a:extLst xmlns:a="http://schemas.openxmlformats.org/drawingml/2006/main">
              <a:ext uri="{FF2B5EF4-FFF2-40B4-BE49-F238E27FC236}">
                <a16:creationId xmlns:a16="http://schemas.microsoft.com/office/drawing/2014/main" id="{EF1A1B8E-E2CE-4CD5-8D3D-DC9A8579EC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r:link="rId3" cstate="print">
                    <a:extLst>
                      <a:ext uri="{28A0092B-C50C-407E-A947-70E740481C1C}">
                        <a14:useLocalDpi xmlns:a14="http://schemas.microsoft.com/office/drawing/2010/main" val="0"/>
                      </a:ext>
                    </a:extLst>
                  </a:blip>
                  <a:srcRect/>
                  <a:stretch>
                    <a:fillRect/>
                  </a:stretch>
                </pic:blipFill>
                <pic:spPr bwMode="auto">
                  <a:xfrm>
                    <a:off x="0" y="0"/>
                    <a:ext cx="1673225" cy="320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AAE88" w14:textId="77777777" w:rsidR="000F7776" w:rsidRPr="0072065B" w:rsidRDefault="000F7776" w:rsidP="000F7776">
    <w:pPr>
      <w:pStyle w:val="NoSpacing"/>
      <w:tabs>
        <w:tab w:val="center" w:pos="4680"/>
      </w:tabs>
      <w:rPr>
        <w:rFonts w:ascii="Helvetica" w:hAnsi="Helvetica" w:cs="Helvetica"/>
        <w:sz w:val="20"/>
        <w:szCs w:val="20"/>
      </w:rPr>
    </w:pPr>
    <w:r w:rsidRPr="00353024">
      <w:rPr>
        <w:rFonts w:ascii="Helvetica" w:hAnsi="Helvetica" w:cs="Helvetica"/>
        <w:noProof/>
        <w:sz w:val="20"/>
        <w:szCs w:val="20"/>
      </w:rPr>
      <w:drawing>
        <wp:anchor distT="0" distB="0" distL="114300" distR="114300" simplePos="0" relativeHeight="251663360" behindDoc="1" locked="0" layoutInCell="1" allowOverlap="1" wp14:anchorId="4C0F9AC5" wp14:editId="0DB14CEA">
          <wp:simplePos x="0" y="0"/>
          <wp:positionH relativeFrom="column">
            <wp:posOffset>1710356</wp:posOffset>
          </wp:positionH>
          <wp:positionV relativeFrom="paragraph">
            <wp:posOffset>-208915</wp:posOffset>
          </wp:positionV>
          <wp:extent cx="1170432" cy="347472"/>
          <wp:effectExtent l="0" t="0" r="0" b="0"/>
          <wp:wrapNone/>
          <wp:docPr id="203456376" name="Picture 2">
            <a:extLst xmlns:a="http://schemas.openxmlformats.org/drawingml/2006/main">
              <a:ext uri="{FF2B5EF4-FFF2-40B4-BE49-F238E27FC236}">
                <a16:creationId xmlns:a16="http://schemas.microsoft.com/office/drawing/2014/main" id="{C105DCC5-32CD-4B0E-91EE-25E4833705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796" t="8686" r="1410" b="7111"/>
                  <a:stretch>
                    <a:fillRect/>
                  </a:stretch>
                </pic:blipFill>
                <pic:spPr bwMode="auto">
                  <a:xfrm>
                    <a:off x="0" y="0"/>
                    <a:ext cx="1170432" cy="3474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elvetica" w:hAnsi="Helvetica" w:cs="Helvetica"/>
        <w:noProof/>
        <w:sz w:val="20"/>
        <w:szCs w:val="20"/>
      </w:rPr>
      <w:drawing>
        <wp:anchor distT="0" distB="0" distL="114300" distR="114300" simplePos="0" relativeHeight="251659264" behindDoc="1" locked="0" layoutInCell="1" allowOverlap="1" wp14:anchorId="65E05C36" wp14:editId="6B3E6E17">
          <wp:simplePos x="0" y="0"/>
          <wp:positionH relativeFrom="margin">
            <wp:posOffset>-551815</wp:posOffset>
          </wp:positionH>
          <wp:positionV relativeFrom="paragraph">
            <wp:posOffset>-167640</wp:posOffset>
          </wp:positionV>
          <wp:extent cx="2084832" cy="210312"/>
          <wp:effectExtent l="0" t="0" r="0" b="0"/>
          <wp:wrapNone/>
          <wp:docPr id="970351211" name="Picture 2">
            <a:extLst xmlns:a="http://schemas.openxmlformats.org/drawingml/2006/main">
              <a:ext uri="{FF2B5EF4-FFF2-40B4-BE49-F238E27FC236}">
                <a16:creationId xmlns:a16="http://schemas.microsoft.com/office/drawing/2014/main" id="{CCED8C15-0D88-476B-B91E-0B50FC886C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4832" cy="2103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55124677" wp14:editId="39262277">
          <wp:simplePos x="0" y="0"/>
          <wp:positionH relativeFrom="column">
            <wp:posOffset>-347345</wp:posOffset>
          </wp:positionH>
          <wp:positionV relativeFrom="paragraph">
            <wp:posOffset>73025</wp:posOffset>
          </wp:positionV>
          <wp:extent cx="731520" cy="429768"/>
          <wp:effectExtent l="0" t="0" r="0" b="8890"/>
          <wp:wrapNone/>
          <wp:docPr id="481037292" name="Picture 1">
            <a:extLst xmlns:a="http://schemas.openxmlformats.org/drawingml/2006/main">
              <a:ext uri="{FF2B5EF4-FFF2-40B4-BE49-F238E27FC236}">
                <a16:creationId xmlns:a16="http://schemas.microsoft.com/office/drawing/2014/main" id="{1FC991E5-3B52-47C9-8D16-20EA253DD4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r:link="rId7" cstate="print">
                    <a:extLst>
                      <a:ext uri="{28A0092B-C50C-407E-A947-70E740481C1C}">
                        <a14:useLocalDpi xmlns:a14="http://schemas.microsoft.com/office/drawing/2010/main" val="0"/>
                      </a:ext>
                    </a:extLst>
                  </a:blip>
                  <a:srcRect t="7629" b="6590"/>
                  <a:stretch>
                    <a:fillRect/>
                  </a:stretch>
                </pic:blipFill>
                <pic:spPr bwMode="auto">
                  <a:xfrm>
                    <a:off x="0" y="0"/>
                    <a:ext cx="731520" cy="4297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elvetica" w:hAnsi="Helvetica" w:cs="Helvetica"/>
        <w:sz w:val="20"/>
        <w:szCs w:val="20"/>
      </w:rPr>
      <w:tab/>
    </w:r>
  </w:p>
  <w:p w14:paraId="4CC654FF" w14:textId="77777777" w:rsidR="000F7776" w:rsidRPr="00105D7A" w:rsidRDefault="000F7776" w:rsidP="000F7776">
    <w:pPr>
      <w:pStyle w:val="NoSpacing"/>
      <w:tabs>
        <w:tab w:val="center" w:pos="4680"/>
      </w:tabs>
      <w:rPr>
        <w:rFonts w:ascii="Helvetica" w:hAnsi="Helvetica" w:cs="Helvetica"/>
        <w:sz w:val="20"/>
        <w:szCs w:val="20"/>
      </w:rPr>
    </w:pPr>
    <w:r w:rsidRPr="00834023">
      <w:rPr>
        <w:rFonts w:ascii="Helvetica" w:hAnsi="Helvetica" w:cs="Helvetica"/>
        <w:noProof/>
        <w:sz w:val="20"/>
        <w:szCs w:val="20"/>
      </w:rPr>
      <w:drawing>
        <wp:anchor distT="0" distB="0" distL="114300" distR="114300" simplePos="0" relativeHeight="251664384" behindDoc="1" locked="0" layoutInCell="1" allowOverlap="1" wp14:anchorId="070503E7" wp14:editId="66737222">
          <wp:simplePos x="0" y="0"/>
          <wp:positionH relativeFrom="column">
            <wp:posOffset>550545</wp:posOffset>
          </wp:positionH>
          <wp:positionV relativeFrom="paragraph">
            <wp:posOffset>56141</wp:posOffset>
          </wp:positionV>
          <wp:extent cx="978408" cy="502920"/>
          <wp:effectExtent l="0" t="0" r="0" b="0"/>
          <wp:wrapNone/>
          <wp:docPr id="271860628" name="Picture 2" descr="A logo for a law firm&#10;&#10;AI-generated content may be incorrect.">
            <a:extLst xmlns:a="http://schemas.openxmlformats.org/drawingml/2006/main">
              <a:ext uri="{FF2B5EF4-FFF2-40B4-BE49-F238E27FC236}">
                <a16:creationId xmlns:a16="http://schemas.microsoft.com/office/drawing/2014/main" id="{E10AF318-8AA4-40E3-B1C0-A94D98C674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80238" name="Picture 2" descr="A logo for a law firm&#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8408"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75EE6B8C" wp14:editId="56A0DAF6">
          <wp:simplePos x="0" y="0"/>
          <wp:positionH relativeFrom="margin">
            <wp:posOffset>1713230</wp:posOffset>
          </wp:positionH>
          <wp:positionV relativeFrom="page">
            <wp:posOffset>879475</wp:posOffset>
          </wp:positionV>
          <wp:extent cx="1481328" cy="301752"/>
          <wp:effectExtent l="0" t="0" r="5080" b="3175"/>
          <wp:wrapNone/>
          <wp:docPr id="1666210969" name="Picture 1" descr="A close-up of a logo&#10;&#10;Description automatically generated">
            <a:extLst xmlns:a="http://schemas.openxmlformats.org/drawingml/2006/main">
              <a:ext uri="{FF2B5EF4-FFF2-40B4-BE49-F238E27FC236}">
                <a16:creationId xmlns:a16="http://schemas.microsoft.com/office/drawing/2014/main" id="{4233BEAD-87B5-4515-ADC9-40AB9B61F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94821" name="Picture 1" descr="A close-up of a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1328" cy="3017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73F4">
      <w:rPr>
        <w:rFonts w:ascii="Helvetica" w:hAnsi="Helvetica" w:cs="Helvetica"/>
        <w:noProof/>
        <w:sz w:val="20"/>
        <w:szCs w:val="20"/>
      </w:rPr>
      <w:drawing>
        <wp:anchor distT="0" distB="0" distL="114300" distR="114300" simplePos="0" relativeHeight="251661312" behindDoc="1" locked="0" layoutInCell="1" allowOverlap="1" wp14:anchorId="73FCE801" wp14:editId="485D69FF">
          <wp:simplePos x="0" y="0"/>
          <wp:positionH relativeFrom="column">
            <wp:posOffset>3470275</wp:posOffset>
          </wp:positionH>
          <wp:positionV relativeFrom="paragraph">
            <wp:posOffset>72390</wp:posOffset>
          </wp:positionV>
          <wp:extent cx="1243584" cy="566928"/>
          <wp:effectExtent l="0" t="0" r="0" b="5080"/>
          <wp:wrapNone/>
          <wp:docPr id="1630265414" name="Picture 2">
            <a:extLst xmlns:a="http://schemas.openxmlformats.org/drawingml/2006/main">
              <a:ext uri="{FF2B5EF4-FFF2-40B4-BE49-F238E27FC236}">
                <a16:creationId xmlns:a16="http://schemas.microsoft.com/office/drawing/2014/main" id="{A644C31F-8582-4FB8-B076-B1D41AC2BD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3584" cy="56692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42B82A63" wp14:editId="2E3EEE22">
          <wp:simplePos x="0" y="0"/>
          <wp:positionH relativeFrom="margin">
            <wp:posOffset>5556250</wp:posOffset>
          </wp:positionH>
          <wp:positionV relativeFrom="paragraph">
            <wp:posOffset>125730</wp:posOffset>
          </wp:positionV>
          <wp:extent cx="594360" cy="347472"/>
          <wp:effectExtent l="0" t="0" r="0" b="0"/>
          <wp:wrapNone/>
          <wp:docPr id="997322754" name="Picture 3" descr="A green logo with black background&#10;&#10;AI-generated content may be incorrect.">
            <a:extLst xmlns:a="http://schemas.openxmlformats.org/drawingml/2006/main">
              <a:ext uri="{FF2B5EF4-FFF2-40B4-BE49-F238E27FC236}">
                <a16:creationId xmlns:a16="http://schemas.microsoft.com/office/drawing/2014/main" id="{C5AEE08D-DE4B-4C47-A4EE-7C1375EF6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17519" name="Picture 3" descr="A green logo with black background&#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94360" cy="3474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B7A050" w14:textId="77777777" w:rsidR="000F7776" w:rsidRDefault="000F7776" w:rsidP="000F7776">
    <w:pPr>
      <w:pStyle w:val="NoSpacing"/>
      <w:rPr>
        <w:rFonts w:ascii="Helvetica" w:hAnsi="Helvetica" w:cs="Helvetica"/>
        <w:sz w:val="20"/>
        <w:szCs w:val="20"/>
      </w:rPr>
    </w:pPr>
    <w:r w:rsidRPr="00ED44C9">
      <w:rPr>
        <w:rFonts w:ascii="Helvetica" w:hAnsi="Helvetica" w:cs="Helvetica"/>
        <w:b/>
        <w:bCs/>
        <w:noProof/>
      </w:rPr>
      <w:drawing>
        <wp:anchor distT="0" distB="0" distL="114300" distR="114300" simplePos="0" relativeHeight="251660288" behindDoc="1" locked="0" layoutInCell="1" allowOverlap="1" wp14:anchorId="3F4263D8" wp14:editId="70FD38F9">
          <wp:simplePos x="0" y="0"/>
          <wp:positionH relativeFrom="column">
            <wp:posOffset>4825365</wp:posOffset>
          </wp:positionH>
          <wp:positionV relativeFrom="paragraph">
            <wp:posOffset>82550</wp:posOffset>
          </wp:positionV>
          <wp:extent cx="584835" cy="474980"/>
          <wp:effectExtent l="0" t="0" r="5715" b="1270"/>
          <wp:wrapNone/>
          <wp:docPr id="2042722925" name="Picture 2">
            <a:extLst xmlns:a="http://schemas.openxmlformats.org/drawingml/2006/main">
              <a:ext uri="{FF2B5EF4-FFF2-40B4-BE49-F238E27FC236}">
                <a16:creationId xmlns:a16="http://schemas.microsoft.com/office/drawing/2014/main" id="{81C06172-26E9-47FF-A19F-71ECBF9277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835" cy="474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8E098E" w14:textId="77777777" w:rsidR="000F7776" w:rsidRDefault="000F7776" w:rsidP="000F7776">
    <w:pPr>
      <w:pStyle w:val="NoSpacing"/>
      <w:tabs>
        <w:tab w:val="left" w:pos="6720"/>
      </w:tabs>
      <w:rPr>
        <w:rFonts w:ascii="Helvetica" w:hAnsi="Helvetica" w:cs="Helvetica"/>
        <w:sz w:val="20"/>
        <w:szCs w:val="20"/>
      </w:rPr>
    </w:pPr>
    <w:r w:rsidRPr="00565192">
      <w:rPr>
        <w:rFonts w:ascii="Times New Roman" w:eastAsia="Times New Roman" w:hAnsi="Times New Roman" w:cs="Times New Roman"/>
        <w:noProof/>
        <w:sz w:val="24"/>
        <w:szCs w:val="24"/>
      </w:rPr>
      <w:drawing>
        <wp:anchor distT="0" distB="0" distL="114300" distR="114300" simplePos="0" relativeHeight="251670528" behindDoc="1" locked="0" layoutInCell="1" allowOverlap="1" wp14:anchorId="3D7F8AB0" wp14:editId="60F860DF">
          <wp:simplePos x="0" y="0"/>
          <wp:positionH relativeFrom="column">
            <wp:posOffset>-525780</wp:posOffset>
          </wp:positionH>
          <wp:positionV relativeFrom="page">
            <wp:posOffset>1194435</wp:posOffset>
          </wp:positionV>
          <wp:extent cx="502920" cy="502920"/>
          <wp:effectExtent l="0" t="0" r="0" b="0"/>
          <wp:wrapNone/>
          <wp:docPr id="631611231" name="Picture 2" descr="A black circle with blue text and a map&#10;&#10;AI-generated content may be incorrect.">
            <a:extLst xmlns:a="http://schemas.openxmlformats.org/drawingml/2006/main">
              <a:ext uri="{FF2B5EF4-FFF2-40B4-BE49-F238E27FC236}">
                <a16:creationId xmlns:a16="http://schemas.microsoft.com/office/drawing/2014/main" id="{56790E2C-25B7-4694-AF12-2EB6B64A74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00149" name="Picture 2" descr="A black circle with blue text and a map&#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hAnsi="Helvetica" w:cs="Helvetica"/>
        <w:sz w:val="20"/>
        <w:szCs w:val="20"/>
      </w:rPr>
      <w:tab/>
    </w:r>
  </w:p>
  <w:p w14:paraId="4E118D63" w14:textId="77777777" w:rsidR="000F7776" w:rsidRDefault="000F7776" w:rsidP="000F7776">
    <w:pPr>
      <w:pStyle w:val="NoSpacing"/>
      <w:rPr>
        <w:rFonts w:ascii="Helvetica" w:hAnsi="Helvetica" w:cs="Helvetica"/>
        <w:sz w:val="20"/>
        <w:szCs w:val="20"/>
        <w:highlight w:val="yellow"/>
      </w:rPr>
    </w:pPr>
    <w:r w:rsidRPr="00E113DD">
      <w:rPr>
        <w:noProof/>
      </w:rPr>
      <w:drawing>
        <wp:anchor distT="0" distB="0" distL="114300" distR="114300" simplePos="0" relativeHeight="251672576" behindDoc="1" locked="0" layoutInCell="1" allowOverlap="1" wp14:anchorId="33A92A2C" wp14:editId="7BC3A7AF">
          <wp:simplePos x="0" y="0"/>
          <wp:positionH relativeFrom="column">
            <wp:posOffset>3931285</wp:posOffset>
          </wp:positionH>
          <wp:positionV relativeFrom="paragraph">
            <wp:posOffset>114300</wp:posOffset>
          </wp:positionV>
          <wp:extent cx="896873" cy="419100"/>
          <wp:effectExtent l="0" t="0" r="0" b="0"/>
          <wp:wrapNone/>
          <wp:docPr id="1607439440" name="Picture 6">
            <a:extLst xmlns:a="http://schemas.openxmlformats.org/drawingml/2006/main">
              <a:ext uri="{FF2B5EF4-FFF2-40B4-BE49-F238E27FC236}">
                <a16:creationId xmlns:a16="http://schemas.microsoft.com/office/drawing/2014/main" id="{9226C7C7-895F-4726-B854-8FFB65E46F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20789"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8173" t="15096" r="7852" b="13489"/>
                  <a:stretch>
                    <a:fillRect/>
                  </a:stretch>
                </pic:blipFill>
                <pic:spPr bwMode="auto">
                  <a:xfrm>
                    <a:off x="0" y="0"/>
                    <a:ext cx="896873" cy="419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01F6D">
      <w:rPr>
        <w:rFonts w:ascii="Helvetica" w:hAnsi="Helvetica" w:cs="Helvetica"/>
        <w:noProof/>
        <w:sz w:val="20"/>
        <w:szCs w:val="20"/>
      </w:rPr>
      <w:drawing>
        <wp:anchor distT="0" distB="0" distL="114300" distR="114300" simplePos="0" relativeHeight="251673600" behindDoc="1" locked="0" layoutInCell="1" allowOverlap="1" wp14:anchorId="1C04CC47" wp14:editId="7F1D8240">
          <wp:simplePos x="0" y="0"/>
          <wp:positionH relativeFrom="column">
            <wp:posOffset>5600700</wp:posOffset>
          </wp:positionH>
          <wp:positionV relativeFrom="paragraph">
            <wp:posOffset>90170</wp:posOffset>
          </wp:positionV>
          <wp:extent cx="548640" cy="457200"/>
          <wp:effectExtent l="0" t="0" r="3810" b="0"/>
          <wp:wrapNone/>
          <wp:docPr id="1127821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t="2352"/>
                  <a:stretch>
                    <a:fillRect/>
                  </a:stretch>
                </pic:blipFill>
                <pic:spPr bwMode="auto">
                  <a:xfrm>
                    <a:off x="0" y="0"/>
                    <a:ext cx="548640"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69F219" w14:textId="77777777" w:rsidR="000F7776" w:rsidRDefault="000F7776" w:rsidP="000F7776">
    <w:pPr>
      <w:pStyle w:val="NoSpacing"/>
      <w:rPr>
        <w:rFonts w:ascii="Helvetica" w:hAnsi="Helvetica" w:cs="Helvetica"/>
        <w:sz w:val="20"/>
        <w:szCs w:val="20"/>
        <w:highlight w:val="yellow"/>
      </w:rPr>
    </w:pPr>
    <w:r w:rsidRPr="00105D7A">
      <w:rPr>
        <w:rFonts w:ascii="Helvetica" w:hAnsi="Helvetica" w:cs="Helvetica"/>
        <w:noProof/>
        <w:sz w:val="20"/>
        <w:szCs w:val="20"/>
      </w:rPr>
      <w:drawing>
        <wp:anchor distT="0" distB="0" distL="114300" distR="114300" simplePos="0" relativeHeight="251674624" behindDoc="1" locked="0" layoutInCell="1" allowOverlap="1" wp14:anchorId="2A1AD5E0" wp14:editId="628BB955">
          <wp:simplePos x="0" y="0"/>
          <wp:positionH relativeFrom="column">
            <wp:posOffset>1600835</wp:posOffset>
          </wp:positionH>
          <wp:positionV relativeFrom="paragraph">
            <wp:posOffset>8890</wp:posOffset>
          </wp:positionV>
          <wp:extent cx="1152144" cy="429768"/>
          <wp:effectExtent l="0" t="0" r="0" b="0"/>
          <wp:wrapNone/>
          <wp:docPr id="5592571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t="13466" r="62220" b="-13466"/>
                  <a:stretch>
                    <a:fillRect/>
                  </a:stretch>
                </pic:blipFill>
                <pic:spPr bwMode="auto">
                  <a:xfrm>
                    <a:off x="0" y="0"/>
                    <a:ext cx="1152144" cy="4297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04FA">
      <w:rPr>
        <w:rFonts w:ascii="Helvetica" w:hAnsi="Helvetica" w:cs="Helvetica"/>
        <w:noProof/>
        <w:sz w:val="20"/>
        <w:szCs w:val="20"/>
      </w:rPr>
      <w:drawing>
        <wp:anchor distT="0" distB="0" distL="114300" distR="114300" simplePos="0" relativeHeight="251669504" behindDoc="1" locked="0" layoutInCell="1" allowOverlap="1" wp14:anchorId="2551CC3F" wp14:editId="4E15429C">
          <wp:simplePos x="0" y="0"/>
          <wp:positionH relativeFrom="margin">
            <wp:posOffset>2878455</wp:posOffset>
          </wp:positionH>
          <wp:positionV relativeFrom="paragraph">
            <wp:posOffset>9525</wp:posOffset>
          </wp:positionV>
          <wp:extent cx="941705" cy="457200"/>
          <wp:effectExtent l="0" t="0" r="0" b="0"/>
          <wp:wrapNone/>
          <wp:docPr id="942861175" name="Picture 2" descr="A black and orange logo&#10;&#10;AI-generated content may be incorrect.">
            <a:extLst xmlns:a="http://schemas.openxmlformats.org/drawingml/2006/main">
              <a:ext uri="{FF2B5EF4-FFF2-40B4-BE49-F238E27FC236}">
                <a16:creationId xmlns:a16="http://schemas.microsoft.com/office/drawing/2014/main" id="{53FF62AA-7592-40B3-99A9-C6FDC9C1D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440199" name="Picture 2" descr="A black and orange logo&#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884" t="5961" r="21154" b="7623"/>
                  <a:stretch/>
                </pic:blipFill>
                <pic:spPr bwMode="auto">
                  <a:xfrm>
                    <a:off x="0" y="0"/>
                    <a:ext cx="941705"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color w:val="171717"/>
      </w:rPr>
      <w:drawing>
        <wp:anchor distT="0" distB="0" distL="114300" distR="114300" simplePos="0" relativeHeight="251671552" behindDoc="1" locked="0" layoutInCell="1" allowOverlap="1" wp14:anchorId="20A93D94" wp14:editId="17AC279E">
          <wp:simplePos x="0" y="0"/>
          <wp:positionH relativeFrom="column">
            <wp:posOffset>98425</wp:posOffset>
          </wp:positionH>
          <wp:positionV relativeFrom="paragraph">
            <wp:posOffset>95885</wp:posOffset>
          </wp:positionV>
          <wp:extent cx="1307592" cy="301752"/>
          <wp:effectExtent l="0" t="0" r="6985" b="3175"/>
          <wp:wrapNone/>
          <wp:docPr id="848468551" name="x_Picture 1">
            <a:extLst xmlns:a="http://schemas.openxmlformats.org/drawingml/2006/main">
              <a:ext uri="{FF2B5EF4-FFF2-40B4-BE49-F238E27FC236}">
                <a16:creationId xmlns:a16="http://schemas.microsoft.com/office/drawing/2014/main" id="{1BFF7EC8-14FA-4857-B657-5A1CD80839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401" name="x_Picture 1"/>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307592" cy="3017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79687A" w14:textId="77777777" w:rsidR="000F7776" w:rsidRDefault="000F7776" w:rsidP="000F7776">
    <w:pPr>
      <w:pStyle w:val="NoSpacing"/>
      <w:rPr>
        <w:rFonts w:ascii="Helvetica" w:hAnsi="Helvetica" w:cs="Helvetica"/>
        <w:sz w:val="20"/>
        <w:szCs w:val="20"/>
      </w:rPr>
    </w:pPr>
  </w:p>
  <w:p w14:paraId="2E534CF1" w14:textId="77777777" w:rsidR="00CE53B8" w:rsidRDefault="00CE5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A088" w14:textId="77777777" w:rsidR="000F7776" w:rsidRDefault="000F7776" w:rsidP="000F7776">
    <w:pPr>
      <w:pStyle w:val="NoSpacing"/>
      <w:rPr>
        <w:rFonts w:ascii="Helvetica" w:hAnsi="Helvetica" w:cs="Helvetica"/>
        <w:sz w:val="20"/>
        <w:szCs w:val="20"/>
      </w:rPr>
    </w:pPr>
  </w:p>
  <w:p w14:paraId="36AB4A03" w14:textId="77777777" w:rsidR="000F7776" w:rsidRDefault="000F7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B0172"/>
    <w:multiLevelType w:val="hybridMultilevel"/>
    <w:tmpl w:val="2452C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4759F"/>
    <w:multiLevelType w:val="hybridMultilevel"/>
    <w:tmpl w:val="617A197A"/>
    <w:lvl w:ilvl="0" w:tplc="A50070BA">
      <w:start w:val="1"/>
      <w:numFmt w:val="bullet"/>
      <w:lvlText w:val="●"/>
      <w:lvlJc w:val="left"/>
      <w:pPr>
        <w:ind w:left="720" w:hanging="360"/>
      </w:pPr>
    </w:lvl>
    <w:lvl w:ilvl="1" w:tplc="1974E2CE">
      <w:start w:val="1"/>
      <w:numFmt w:val="bullet"/>
      <w:lvlText w:val="○"/>
      <w:lvlJc w:val="left"/>
      <w:pPr>
        <w:ind w:left="1440" w:hanging="360"/>
      </w:pPr>
    </w:lvl>
    <w:lvl w:ilvl="2" w:tplc="8BB28FF8">
      <w:start w:val="1"/>
      <w:numFmt w:val="bullet"/>
      <w:lvlText w:val="■"/>
      <w:lvlJc w:val="left"/>
      <w:pPr>
        <w:ind w:left="2160" w:hanging="360"/>
      </w:pPr>
    </w:lvl>
    <w:lvl w:ilvl="3" w:tplc="9C8AC422">
      <w:start w:val="1"/>
      <w:numFmt w:val="bullet"/>
      <w:lvlText w:val="●"/>
      <w:lvlJc w:val="left"/>
      <w:pPr>
        <w:ind w:left="2880" w:hanging="360"/>
      </w:pPr>
    </w:lvl>
    <w:lvl w:ilvl="4" w:tplc="030C610C">
      <w:start w:val="1"/>
      <w:numFmt w:val="bullet"/>
      <w:lvlText w:val="○"/>
      <w:lvlJc w:val="left"/>
      <w:pPr>
        <w:ind w:left="3600" w:hanging="360"/>
      </w:pPr>
    </w:lvl>
    <w:lvl w:ilvl="5" w:tplc="789437EC">
      <w:start w:val="1"/>
      <w:numFmt w:val="bullet"/>
      <w:lvlText w:val="■"/>
      <w:lvlJc w:val="left"/>
      <w:pPr>
        <w:ind w:left="4320" w:hanging="360"/>
      </w:pPr>
    </w:lvl>
    <w:lvl w:ilvl="6" w:tplc="D62E2CC8">
      <w:start w:val="1"/>
      <w:numFmt w:val="bullet"/>
      <w:lvlText w:val="●"/>
      <w:lvlJc w:val="left"/>
      <w:pPr>
        <w:ind w:left="5040" w:hanging="360"/>
      </w:pPr>
    </w:lvl>
    <w:lvl w:ilvl="7" w:tplc="55B2E26A">
      <w:start w:val="1"/>
      <w:numFmt w:val="bullet"/>
      <w:lvlText w:val="●"/>
      <w:lvlJc w:val="left"/>
      <w:pPr>
        <w:ind w:left="5760" w:hanging="360"/>
      </w:pPr>
    </w:lvl>
    <w:lvl w:ilvl="8" w:tplc="873A659A">
      <w:start w:val="1"/>
      <w:numFmt w:val="bullet"/>
      <w:lvlText w:val="●"/>
      <w:lvlJc w:val="left"/>
      <w:pPr>
        <w:ind w:left="6480" w:hanging="360"/>
      </w:pPr>
    </w:lvl>
  </w:abstractNum>
  <w:num w:numId="1" w16cid:durableId="1289243317">
    <w:abstractNumId w:val="1"/>
    <w:lvlOverride w:ilvl="0">
      <w:startOverride w:val="1"/>
    </w:lvlOverride>
  </w:num>
  <w:num w:numId="2" w16cid:durableId="291713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E05"/>
    <w:rsid w:val="000E4FB2"/>
    <w:rsid w:val="000F7776"/>
    <w:rsid w:val="00167E05"/>
    <w:rsid w:val="001B2082"/>
    <w:rsid w:val="001B3634"/>
    <w:rsid w:val="00221AE6"/>
    <w:rsid w:val="00314CC4"/>
    <w:rsid w:val="00362E9A"/>
    <w:rsid w:val="0042756A"/>
    <w:rsid w:val="00444BC8"/>
    <w:rsid w:val="0047283B"/>
    <w:rsid w:val="0057363A"/>
    <w:rsid w:val="00680063"/>
    <w:rsid w:val="0072412B"/>
    <w:rsid w:val="00832B7B"/>
    <w:rsid w:val="00843C6F"/>
    <w:rsid w:val="008D37A2"/>
    <w:rsid w:val="00911E3E"/>
    <w:rsid w:val="009B6F35"/>
    <w:rsid w:val="009E3975"/>
    <w:rsid w:val="00A64B80"/>
    <w:rsid w:val="00B062EF"/>
    <w:rsid w:val="00B14BCB"/>
    <w:rsid w:val="00B6427F"/>
    <w:rsid w:val="00B77F91"/>
    <w:rsid w:val="00B81C71"/>
    <w:rsid w:val="00BA0A48"/>
    <w:rsid w:val="00BB5644"/>
    <w:rsid w:val="00C02C84"/>
    <w:rsid w:val="00C70676"/>
    <w:rsid w:val="00C87A57"/>
    <w:rsid w:val="00CE53B8"/>
    <w:rsid w:val="00DD5490"/>
    <w:rsid w:val="00E109F9"/>
    <w:rsid w:val="00E35A9B"/>
    <w:rsid w:val="00E37C37"/>
    <w:rsid w:val="00FC3D09"/>
    <w:rsid w:val="00FE4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48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E109F9"/>
  </w:style>
  <w:style w:type="paragraph" w:styleId="Header">
    <w:name w:val="header"/>
    <w:basedOn w:val="Normal"/>
    <w:link w:val="HeaderChar"/>
    <w:uiPriority w:val="99"/>
    <w:unhideWhenUsed/>
    <w:rsid w:val="00E35A9B"/>
    <w:pPr>
      <w:tabs>
        <w:tab w:val="center" w:pos="4680"/>
        <w:tab w:val="right" w:pos="9360"/>
      </w:tabs>
    </w:pPr>
  </w:style>
  <w:style w:type="character" w:customStyle="1" w:styleId="HeaderChar">
    <w:name w:val="Header Char"/>
    <w:basedOn w:val="DefaultParagraphFont"/>
    <w:link w:val="Header"/>
    <w:uiPriority w:val="99"/>
    <w:rsid w:val="00E35A9B"/>
  </w:style>
  <w:style w:type="paragraph" w:styleId="Footer">
    <w:name w:val="footer"/>
    <w:basedOn w:val="Normal"/>
    <w:link w:val="FooterChar"/>
    <w:uiPriority w:val="99"/>
    <w:unhideWhenUsed/>
    <w:rsid w:val="00E35A9B"/>
    <w:pPr>
      <w:tabs>
        <w:tab w:val="center" w:pos="4680"/>
        <w:tab w:val="right" w:pos="9360"/>
      </w:tabs>
    </w:pPr>
  </w:style>
  <w:style w:type="character" w:customStyle="1" w:styleId="FooterChar">
    <w:name w:val="Footer Char"/>
    <w:basedOn w:val="DefaultParagraphFont"/>
    <w:link w:val="Footer"/>
    <w:uiPriority w:val="99"/>
    <w:rsid w:val="00E35A9B"/>
  </w:style>
  <w:style w:type="character" w:styleId="CommentReference">
    <w:name w:val="annotation reference"/>
    <w:basedOn w:val="DefaultParagraphFont"/>
    <w:uiPriority w:val="99"/>
    <w:semiHidden/>
    <w:unhideWhenUsed/>
    <w:rsid w:val="00E35A9B"/>
    <w:rPr>
      <w:sz w:val="16"/>
      <w:szCs w:val="16"/>
    </w:rPr>
  </w:style>
  <w:style w:type="paragraph" w:styleId="CommentText">
    <w:name w:val="annotation text"/>
    <w:basedOn w:val="Normal"/>
    <w:link w:val="CommentTextChar"/>
    <w:uiPriority w:val="99"/>
    <w:semiHidden/>
    <w:unhideWhenUsed/>
    <w:rsid w:val="00E35A9B"/>
  </w:style>
  <w:style w:type="character" w:customStyle="1" w:styleId="CommentTextChar">
    <w:name w:val="Comment Text Char"/>
    <w:basedOn w:val="DefaultParagraphFont"/>
    <w:link w:val="CommentText"/>
    <w:uiPriority w:val="99"/>
    <w:semiHidden/>
    <w:rsid w:val="00E35A9B"/>
  </w:style>
  <w:style w:type="paragraph" w:styleId="CommentSubject">
    <w:name w:val="annotation subject"/>
    <w:basedOn w:val="CommentText"/>
    <w:next w:val="CommentText"/>
    <w:link w:val="CommentSubjectChar"/>
    <w:uiPriority w:val="99"/>
    <w:semiHidden/>
    <w:unhideWhenUsed/>
    <w:rsid w:val="00E35A9B"/>
    <w:rPr>
      <w:b/>
      <w:bCs/>
    </w:rPr>
  </w:style>
  <w:style w:type="character" w:customStyle="1" w:styleId="CommentSubjectChar">
    <w:name w:val="Comment Subject Char"/>
    <w:basedOn w:val="CommentTextChar"/>
    <w:link w:val="CommentSubject"/>
    <w:uiPriority w:val="99"/>
    <w:semiHidden/>
    <w:rsid w:val="00E35A9B"/>
    <w:rPr>
      <w:b/>
      <w:bCs/>
    </w:rPr>
  </w:style>
  <w:style w:type="paragraph" w:styleId="NoSpacing">
    <w:name w:val="No Spacing"/>
    <w:uiPriority w:val="1"/>
    <w:qFormat/>
    <w:rsid w:val="009E3975"/>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7.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image" Target="cid:image001.png@01DCBD0B.404CB0D0" TargetMode="External"/><Relationship Id="rId7" Type="http://schemas.openxmlformats.org/officeDocument/2006/relationships/image" Target="cid:image001.png@01DCC771.4CBF2760" TargetMode="External"/><Relationship Id="rId12" Type="http://schemas.openxmlformats.org/officeDocument/2006/relationships/image" Target="cid:image001.png@01DB91AA.A1417110" TargetMode="External"/><Relationship Id="rId17" Type="http://schemas.openxmlformats.org/officeDocument/2006/relationships/image" Target="media/image14.jpeg"/><Relationship Id="rId2" Type="http://schemas.openxmlformats.org/officeDocument/2006/relationships/image" Target="media/image2.png"/><Relationship Id="rId16" Type="http://schemas.openxmlformats.org/officeDocument/2006/relationships/image" Target="media/image13.png"/><Relationship Id="rId20" Type="http://schemas.openxmlformats.org/officeDocument/2006/relationships/image" Target="cid:image002.jpg@01DB91E3.E1B6F830" TargetMode="External"/><Relationship Id="rId1" Type="http://schemas.openxmlformats.org/officeDocument/2006/relationships/image" Target="media/image1.png"/><Relationship Id="rId6" Type="http://schemas.openxmlformats.org/officeDocument/2006/relationships/image" Target="media/image5.png"/><Relationship Id="rId11" Type="http://schemas.openxmlformats.org/officeDocument/2006/relationships/image" Target="media/image9.png"/><Relationship Id="rId5" Type="http://schemas.openxmlformats.org/officeDocument/2006/relationships/image" Target="media/image4.png"/><Relationship Id="rId15" Type="http://schemas.openxmlformats.org/officeDocument/2006/relationships/image" Target="media/image12.png"/><Relationship Id="rId10" Type="http://schemas.openxmlformats.org/officeDocument/2006/relationships/image" Target="media/image8.png"/><Relationship Id="rId19" Type="http://schemas.openxmlformats.org/officeDocument/2006/relationships/image" Target="media/image16.jpeg"/><Relationship Id="rId4" Type="http://schemas.openxmlformats.org/officeDocument/2006/relationships/image" Target="media/image3.png"/><Relationship Id="rId9" Type="http://schemas.openxmlformats.org/officeDocument/2006/relationships/image" Target="media/image7.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b4f4ba8-594d-4fba-aab9-24fbcba8a15d" xsi:nil="true"/>
    <lcf76f155ced4ddcb4097134ff3c332f xmlns="c890d0c9-0b70-4dc6-8c41-3af9c36c84e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FE69E40203F34B9681D00FBC537DF7" ma:contentTypeVersion="17" ma:contentTypeDescription="Create a new document." ma:contentTypeScope="" ma:versionID="587060cdf2e201a99382170654c11a8e">
  <xsd:schema xmlns:xsd="http://www.w3.org/2001/XMLSchema" xmlns:xs="http://www.w3.org/2001/XMLSchema" xmlns:p="http://schemas.microsoft.com/office/2006/metadata/properties" xmlns:ns2="c890d0c9-0b70-4dc6-8c41-3af9c36c84e4" xmlns:ns3="bb4f4ba8-594d-4fba-aab9-24fbcba8a15d" targetNamespace="http://schemas.microsoft.com/office/2006/metadata/properties" ma:root="true" ma:fieldsID="343ea3228fea2c854cf51490c904e9fc" ns2:_="" ns3:_="">
    <xsd:import namespace="c890d0c9-0b70-4dc6-8c41-3af9c36c84e4"/>
    <xsd:import namespace="bb4f4ba8-594d-4fba-aab9-24fbcba8a1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0d0c9-0b70-4dc6-8c41-3af9c36c8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fa3bb4-6533-4e06-bf5a-59250ae3c3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f4ba8-594d-4fba-aab9-24fbcba8a15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77aa026-91dd-4880-868f-907fc86678df}" ma:internalName="TaxCatchAll" ma:showField="CatchAllData" ma:web="bb4f4ba8-594d-4fba-aab9-24fbcba8a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DF068-DF50-4381-829F-8C6E9D2AC46B}">
  <ds:schemaRefs>
    <ds:schemaRef ds:uri="http://schemas.microsoft.com/sharepoint/v3/contenttype/forms"/>
  </ds:schemaRefs>
</ds:datastoreItem>
</file>

<file path=customXml/itemProps2.xml><?xml version="1.0" encoding="utf-8"?>
<ds:datastoreItem xmlns:ds="http://schemas.openxmlformats.org/officeDocument/2006/customXml" ds:itemID="{37AFEB48-FDC2-461C-8EE4-96139AFDEAA8}">
  <ds:schemaRefs>
    <ds:schemaRef ds:uri="http://schemas.microsoft.com/office/2006/metadata/properties"/>
    <ds:schemaRef ds:uri="http://schemas.microsoft.com/office/infopath/2007/PartnerControls"/>
    <ds:schemaRef ds:uri="bb4f4ba8-594d-4fba-aab9-24fbcba8a15d"/>
    <ds:schemaRef ds:uri="c890d0c9-0b70-4dc6-8c41-3af9c36c84e4"/>
  </ds:schemaRefs>
</ds:datastoreItem>
</file>

<file path=customXml/itemProps3.xml><?xml version="1.0" encoding="utf-8"?>
<ds:datastoreItem xmlns:ds="http://schemas.openxmlformats.org/officeDocument/2006/customXml" ds:itemID="{8712AD2A-8EB4-4FB5-A744-1170E1CA7CC2}">
  <ds:schemaRefs>
    <ds:schemaRef ds:uri="http://schemas.openxmlformats.org/officeDocument/2006/bibliography"/>
  </ds:schemaRefs>
</ds:datastoreItem>
</file>

<file path=customXml/itemProps4.xml><?xml version="1.0" encoding="utf-8"?>
<ds:datastoreItem xmlns:ds="http://schemas.openxmlformats.org/officeDocument/2006/customXml" ds:itemID="{2115A29D-08A5-442A-B071-C817C4BB5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0d0c9-0b70-4dc6-8c41-3af9c36c84e4"/>
    <ds:schemaRef ds:uri="bb4f4ba8-594d-4fba-aab9-24fbcba8a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abc4f7-4509-41ba-980a-f561a25182bc}" enabled="0" method="" siteId="{a7abc4f7-4509-41ba-980a-f561a25182bc}"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1906</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2026-09-03T18:21:00Z</dcterms:created>
  <dcterms:modified xsi:type="dcterms:W3CDTF">2026-09-03T18:37:00Z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0x010100E1FE69E40203F34B9681D00FBC537DF7</vt:lpwstr>
  </property>
  <property fmtid="{D5CDD505-2E9C-101B-9397-08002B2CF9AE}" pid="3" name="MediaServiceImageTags">
    <vt:lpwstr/>
  </property>
</Properties>
</file>